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D9" w:rsidRDefault="002F2BD9" w:rsidP="002F2BD9">
      <w:pPr>
        <w:adjustRightInd w:val="0"/>
        <w:snapToGrid w:val="0"/>
        <w:spacing w:before="200" w:line="288" w:lineRule="auto"/>
        <w:ind w:firstLineChars="200" w:firstLine="482"/>
        <w:jc w:val="center"/>
        <w:outlineLvl w:val="1"/>
        <w:rPr>
          <w:rFonts w:ascii="Times New Roman" w:hAnsi="Times New Roman" w:cs="Times New Roman"/>
          <w:b/>
          <w:color w:val="0D0D0D"/>
          <w:sz w:val="24"/>
          <w:szCs w:val="24"/>
        </w:rPr>
      </w:pPr>
      <w:r>
        <w:rPr>
          <w:rFonts w:ascii="Times New Roman" w:hAnsi="Times New Roman" w:cs="Times New Roman"/>
          <w:b/>
          <w:color w:val="0D0D0D"/>
          <w:sz w:val="24"/>
          <w:szCs w:val="24"/>
        </w:rPr>
        <w:t>Detailed Rules of Corn Futures of Dalian Commodity Exchange</w:t>
      </w:r>
    </w:p>
    <w:p w:rsidR="002F2BD9" w:rsidRDefault="002F2BD9" w:rsidP="002F2BD9">
      <w:pPr>
        <w:adjustRightInd w:val="0"/>
        <w:snapToGrid w:val="0"/>
        <w:spacing w:before="200" w:line="288" w:lineRule="auto"/>
        <w:jc w:val="center"/>
        <w:rPr>
          <w:rFonts w:ascii="Times New Roman" w:hAnsi="Times New Roman" w:cs="Times New Roman"/>
          <w:b/>
          <w:color w:val="0D0D0D"/>
          <w:sz w:val="24"/>
          <w:szCs w:val="24"/>
        </w:rPr>
      </w:pPr>
      <w:r>
        <w:rPr>
          <w:rFonts w:ascii="Times New Roman" w:hAnsi="Times New Roman" w:cs="Times New Roman"/>
          <w:b/>
          <w:color w:val="0D0D0D"/>
          <w:sz w:val="24"/>
          <w:szCs w:val="24"/>
        </w:rPr>
        <w:t>Chapter I  General Provisions</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Detailed Rules of Corn Futures of Dalian Commodity Exchange (the "</w:t>
      </w:r>
      <w:r>
        <w:rPr>
          <w:rFonts w:ascii="Times New Roman" w:hAnsi="Times New Roman" w:cs="Times New Roman"/>
          <w:b/>
          <w:color w:val="0D0D0D"/>
          <w:sz w:val="24"/>
          <w:szCs w:val="24"/>
        </w:rPr>
        <w:t>Detailed Rules</w:t>
      </w:r>
      <w:r>
        <w:rPr>
          <w:rFonts w:ascii="Times New Roman" w:hAnsi="Times New Roman" w:cs="Times New Roman"/>
          <w:color w:val="0D0D0D"/>
          <w:sz w:val="24"/>
          <w:szCs w:val="24"/>
        </w:rPr>
        <w:t xml:space="preserve">") are formulated pursuant to the </w:t>
      </w:r>
      <w:r>
        <w:rPr>
          <w:rFonts w:ascii="Times New Roman" w:hAnsi="Times New Roman" w:cs="Times New Roman"/>
          <w:i/>
          <w:color w:val="0D0D0D"/>
          <w:sz w:val="24"/>
          <w:szCs w:val="24"/>
        </w:rPr>
        <w:t>Trading Rules of Dalian Commodity Exchange</w:t>
      </w:r>
      <w:r>
        <w:rPr>
          <w:rFonts w:ascii="Times New Roman" w:hAnsi="Times New Roman" w:cs="Times New Roman"/>
          <w:color w:val="0D0D0D"/>
          <w:sz w:val="24"/>
          <w:szCs w:val="24"/>
        </w:rPr>
        <w:t xml:space="preserve"> and the </w:t>
      </w:r>
      <w:r>
        <w:rPr>
          <w:rFonts w:ascii="Times New Roman" w:hAnsi="Times New Roman" w:cs="Times New Roman"/>
          <w:i/>
          <w:color w:val="0D0D0D"/>
          <w:sz w:val="24"/>
          <w:szCs w:val="24"/>
        </w:rPr>
        <w:t>Corn Futures Contract of Dalian Commodity Exchange</w:t>
      </w:r>
      <w:r>
        <w:rPr>
          <w:rFonts w:ascii="Times New Roman" w:hAnsi="Times New Roman" w:cs="Times New Roman"/>
          <w:color w:val="0D0D0D"/>
          <w:sz w:val="24"/>
          <w:szCs w:val="24"/>
        </w:rPr>
        <w:t xml:space="preserve"> for the purpose of standardizing the trading of corn futures contracts.</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Dalian Commodity Exchange (the "</w:t>
      </w:r>
      <w:r>
        <w:rPr>
          <w:rFonts w:ascii="Times New Roman" w:hAnsi="Times New Roman" w:cs="Times New Roman"/>
          <w:b/>
          <w:color w:val="0D0D0D"/>
          <w:sz w:val="24"/>
          <w:szCs w:val="24"/>
        </w:rPr>
        <w:t>Exchange</w:t>
      </w:r>
      <w:r>
        <w:rPr>
          <w:rFonts w:ascii="Times New Roman" w:hAnsi="Times New Roman" w:cs="Times New Roman"/>
          <w:color w:val="0D0D0D"/>
          <w:sz w:val="24"/>
          <w:szCs w:val="24"/>
        </w:rPr>
        <w:t>"), its Members, the clients, the designated delivery warehouses, the designated quality inspection agencies, the designated futures margin depositary banks and other participants in the futures market shall comply with the Detailed Rules.</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Where it is not provided in the Detailed Rules, the relevant rules of the Exchange shall apply.</w:t>
      </w:r>
    </w:p>
    <w:p w:rsidR="002F2BD9" w:rsidRDefault="002F2BD9" w:rsidP="002F2BD9">
      <w:pPr>
        <w:adjustRightInd w:val="0"/>
        <w:snapToGrid w:val="0"/>
        <w:spacing w:before="200" w:line="288" w:lineRule="auto"/>
        <w:jc w:val="center"/>
        <w:rPr>
          <w:rFonts w:ascii="Times New Roman" w:hAnsi="Times New Roman" w:cs="Times New Roman"/>
          <w:b/>
          <w:color w:val="0D0D0D"/>
          <w:sz w:val="24"/>
          <w:szCs w:val="24"/>
        </w:rPr>
      </w:pPr>
      <w:r>
        <w:rPr>
          <w:rFonts w:ascii="Times New Roman" w:hAnsi="Times New Roman" w:cs="Times New Roman"/>
          <w:b/>
          <w:color w:val="0D0D0D"/>
          <w:sz w:val="24"/>
          <w:szCs w:val="24"/>
        </w:rPr>
        <w:t>Chapter II  Principle Terms of the Contract and Relevant Parameters</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 xml:space="preserve">The quality standards for and the quality discounts and/or premiums of standard deliverable products and substitutes under the corn futures contract are detailed in the </w:t>
      </w:r>
      <w:r>
        <w:rPr>
          <w:rFonts w:ascii="Times New Roman" w:hAnsi="Times New Roman" w:cs="Times New Roman"/>
          <w:i/>
          <w:color w:val="0D0D0D"/>
          <w:sz w:val="24"/>
          <w:szCs w:val="24"/>
        </w:rPr>
        <w:t>Corn Delivery Quality Standards of Dalian Commodity Exchange (FC/DCE D001-2015)</w:t>
      </w:r>
      <w:r>
        <w:rPr>
          <w:rFonts w:ascii="Times New Roman" w:hAnsi="Times New Roman" w:cs="Times New Roman"/>
          <w:color w:val="0D0D0D"/>
          <w:sz w:val="24"/>
          <w:szCs w:val="24"/>
        </w:rPr>
        <w:t xml:space="preserve"> as Annex 1 attached hereto.</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corn futures contract shall take the form of physical delivery.</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delivery warehouses designated for corn shall be divided into the benchmark delivery warehouses and the non-benchmark delivery warehouses (detailed in the</w:t>
      </w:r>
      <w:r>
        <w:rPr>
          <w:rFonts w:ascii="Times New Roman" w:hAnsi="Times New Roman" w:cs="Times New Roman"/>
          <w:i/>
          <w:color w:val="0D0D0D"/>
          <w:sz w:val="24"/>
          <w:szCs w:val="24"/>
        </w:rPr>
        <w:t xml:space="preserve"> List of Delivery Warehouses Designated for Corn of Dalian Commodity Exchange</w:t>
      </w:r>
      <w:r>
        <w:rPr>
          <w:rFonts w:ascii="Times New Roman" w:hAnsi="Times New Roman" w:cs="Times New Roman"/>
          <w:color w:val="0D0D0D"/>
          <w:sz w:val="24"/>
          <w:szCs w:val="24"/>
        </w:rPr>
        <w:t xml:space="preserve"> as Annex 2 attached hereto), and may be adjusted by the Exchange as the case may be.</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contract months of the corn futures contract are January, March, May, July, September and November.</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trading unit of the corn futures contract is 10 MT/Lot.</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price quote unit of the corn futures contract is CNY/MT.</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minimum tick size of the corn futures contract is 1 CNY/MT.</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maximum quantity of orders placed each time for the corn futures contract shall be two thousand (2,000) lots.</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 xml:space="preserve">The standard of trading margins, price limit range and position limit under the corn futures contract shall be subject to the relevant provisions of the </w:t>
      </w:r>
      <w:r>
        <w:rPr>
          <w:rFonts w:ascii="Times New Roman" w:hAnsi="Times New Roman" w:cs="Times New Roman"/>
          <w:i/>
          <w:color w:val="0D0D0D"/>
          <w:sz w:val="24"/>
          <w:szCs w:val="24"/>
        </w:rPr>
        <w:lastRenderedPageBreak/>
        <w:t>Measures for Risk Management of Dalian Commodity Exchange</w:t>
      </w:r>
      <w:r>
        <w:rPr>
          <w:rFonts w:ascii="Times New Roman" w:hAnsi="Times New Roman" w:cs="Times New Roman"/>
          <w:color w:val="0D0D0D"/>
          <w:sz w:val="24"/>
          <w:szCs w:val="24"/>
        </w:rPr>
        <w:t xml:space="preserve">. </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last trading day of the corn futures contract is the tenth trading day of the contract month.</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last delivery day of the corn futures contract is the third trading day after the last trading day.</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ticker symbol of the corn futures contract is C.</w:t>
      </w:r>
    </w:p>
    <w:p w:rsidR="002F2BD9" w:rsidRDefault="002F2BD9" w:rsidP="002F2BD9">
      <w:pPr>
        <w:adjustRightInd w:val="0"/>
        <w:snapToGrid w:val="0"/>
        <w:spacing w:before="200" w:line="288" w:lineRule="auto"/>
        <w:jc w:val="center"/>
        <w:rPr>
          <w:rFonts w:ascii="Times New Roman" w:hAnsi="Times New Roman" w:cs="Times New Roman"/>
          <w:b/>
          <w:color w:val="0D0D0D"/>
          <w:sz w:val="24"/>
          <w:szCs w:val="24"/>
        </w:rPr>
      </w:pPr>
      <w:r>
        <w:rPr>
          <w:rFonts w:ascii="Times New Roman" w:hAnsi="Times New Roman" w:cs="Times New Roman"/>
          <w:b/>
          <w:color w:val="0D0D0D"/>
          <w:sz w:val="24"/>
          <w:szCs w:val="24"/>
        </w:rPr>
        <w:t>Chapter III  Delivery and Clearing</w:t>
      </w:r>
    </w:p>
    <w:p w:rsidR="002F2BD9" w:rsidRDefault="002F2BD9" w:rsidP="002F2BD9">
      <w:pPr>
        <w:adjustRightInd w:val="0"/>
        <w:snapToGrid w:val="0"/>
        <w:spacing w:before="200" w:line="288" w:lineRule="auto"/>
        <w:jc w:val="center"/>
        <w:rPr>
          <w:rFonts w:ascii="Times New Roman" w:hAnsi="Times New Roman" w:cs="Times New Roman"/>
          <w:color w:val="0D0D0D"/>
          <w:sz w:val="24"/>
          <w:szCs w:val="24"/>
        </w:rPr>
      </w:pPr>
      <w:r>
        <w:rPr>
          <w:rFonts w:ascii="Times New Roman" w:hAnsi="Times New Roman" w:cs="Times New Roman"/>
          <w:color w:val="0D0D0D"/>
          <w:sz w:val="24"/>
          <w:szCs w:val="24"/>
        </w:rPr>
        <w:t>Section I  General Provisions</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corn futures contract may apply the exchange of futures for physicals (the "</w:t>
      </w:r>
      <w:r>
        <w:rPr>
          <w:rFonts w:ascii="Times New Roman" w:hAnsi="Times New Roman" w:cs="Times New Roman"/>
          <w:b/>
          <w:color w:val="0D0D0D"/>
          <w:sz w:val="24"/>
          <w:szCs w:val="24"/>
        </w:rPr>
        <w:t>EFP</w:t>
      </w:r>
      <w:r>
        <w:rPr>
          <w:rFonts w:ascii="Times New Roman" w:hAnsi="Times New Roman" w:cs="Times New Roman"/>
          <w:color w:val="0D0D0D"/>
          <w:sz w:val="24"/>
          <w:szCs w:val="24"/>
        </w:rPr>
        <w:t xml:space="preserve">"), rolling delivery and one-off delivery, the detailed procedures of which are provided in the relevant provisions of the </w:t>
      </w:r>
      <w:r>
        <w:rPr>
          <w:rFonts w:ascii="Times New Roman" w:hAnsi="Times New Roman" w:cs="Times New Roman"/>
          <w:i/>
          <w:color w:val="0D0D0D"/>
          <w:sz w:val="24"/>
          <w:szCs w:val="24"/>
        </w:rPr>
        <w:t>Measures for Delivery Management of Dalian Commodity Exchange</w:t>
      </w:r>
      <w:r>
        <w:rPr>
          <w:rFonts w:ascii="Times New Roman" w:hAnsi="Times New Roman" w:cs="Times New Roman"/>
          <w:color w:val="0D0D0D"/>
          <w:sz w:val="24"/>
          <w:szCs w:val="24"/>
        </w:rPr>
        <w:t xml:space="preserve"> and the </w:t>
      </w:r>
      <w:r>
        <w:rPr>
          <w:rFonts w:ascii="Times New Roman" w:hAnsi="Times New Roman" w:cs="Times New Roman"/>
          <w:i/>
          <w:color w:val="0D0D0D"/>
          <w:sz w:val="24"/>
          <w:szCs w:val="24"/>
        </w:rPr>
        <w:t>Measures for Clearing Management of Dalian Commodity Exchange</w:t>
      </w:r>
      <w:r>
        <w:rPr>
          <w:rFonts w:ascii="Times New Roman" w:hAnsi="Times New Roman" w:cs="Times New Roman"/>
          <w:color w:val="0D0D0D"/>
          <w:sz w:val="24"/>
          <w:szCs w:val="24"/>
        </w:rPr>
        <w:t xml:space="preserve">. </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b/>
          <w:color w:val="0D0D0D"/>
          <w:sz w:val="24"/>
          <w:szCs w:val="24"/>
        </w:rPr>
      </w:pPr>
      <w:r>
        <w:rPr>
          <w:rFonts w:ascii="Times New Roman" w:hAnsi="Times New Roman" w:cs="Times New Roman"/>
          <w:color w:val="0D0D0D"/>
          <w:sz w:val="24"/>
          <w:szCs w:val="24"/>
        </w:rPr>
        <w:t>The standard warehouse receipt of the corn shall be divided into the standard warehouse receipt of storage warehouse and the standard factory warehouse receipt.</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 xml:space="preserve">The designated delivery warehouse of the corn may, subject to the approval by the Exchange, set up the extended warehouse area. In addition to the provisions of the Detailed Rules, the relevant provisions in the </w:t>
      </w:r>
      <w:r>
        <w:rPr>
          <w:rFonts w:ascii="Times New Roman" w:hAnsi="Times New Roman" w:cs="Times New Roman"/>
          <w:i/>
          <w:color w:val="0D0D0D"/>
          <w:sz w:val="24"/>
          <w:szCs w:val="24"/>
        </w:rPr>
        <w:t>Measures for Designated Delivery Warehouse Management of Dalian Commodity Exchange</w:t>
      </w:r>
      <w:r>
        <w:rPr>
          <w:rFonts w:ascii="Times New Roman" w:hAnsi="Times New Roman" w:cs="Times New Roman"/>
          <w:color w:val="0D0D0D"/>
          <w:sz w:val="24"/>
          <w:szCs w:val="24"/>
        </w:rPr>
        <w:t xml:space="preserve"> shall apply. </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group delivery sub-warehouses of the corn include sub-warehouses in northeast area (that is, the sub-warehouses established in Liaoning Province, Jilin Province, Heilongjiang Province and the Nei Mongol Autonomous Region) and non-northeast area sub-warehouses (that is, the sub-warehouses established outside of Liaoning Province, Jilin Province, Heilongjiang Province and the Nei Mongol Autonomous Region). The sub-warehouses may issue standard warehouse receipts after being authorized by the group delivery warehouse, and the relevant rights and obligations under the standard warehouse receipts shall be borne by the group delivery warehouse. The sub-warehouses in northeast area shall adopt the fixed premiums/discounts and may issue the standard warehouse receipts of storage warehouse or factory warehouse; and the non-northeast area sub-warehouses shall take the floating premiums/discounts and issue the standard warehouse receipts of the factory warehouse.</w:t>
      </w:r>
    </w:p>
    <w:p w:rsidR="002F2BD9" w:rsidRDefault="002F2BD9" w:rsidP="002F2BD9">
      <w:pPr>
        <w:adjustRightInd w:val="0"/>
        <w:snapToGrid w:val="0"/>
        <w:spacing w:before="200" w:line="288" w:lineRule="auto"/>
        <w:ind w:left="1260" w:firstLine="16"/>
        <w:rPr>
          <w:rFonts w:ascii="Times New Roman" w:hAnsi="Times New Roman" w:cs="Times New Roman"/>
          <w:color w:val="0D0D0D"/>
          <w:sz w:val="24"/>
          <w:szCs w:val="24"/>
        </w:rPr>
      </w:pPr>
      <w:r>
        <w:rPr>
          <w:rFonts w:ascii="Times New Roman" w:hAnsi="Times New Roman" w:cs="Times New Roman"/>
          <w:color w:val="0D0D0D"/>
          <w:sz w:val="24"/>
          <w:szCs w:val="24"/>
        </w:rPr>
        <w:lastRenderedPageBreak/>
        <w:t>When a sub-warehouse issues the standard warehouse receipts of the factory warehouse, the bank guarantee letter and/or cash margin shall be provided by the group delivery warehouse; and the other delivery of such sub-warehouse shall be handled by reference to the relevant provisions of the factory warehouse of the corn.</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The floating premiums/discounts shall be determined on the basis of the group delivery warehouse's quotation and as per the calculation method prescribed by the Exchange. The calculation method will be separately promulgated by the Exchange and may be adjusted by the Exchange as the case may be.</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differences of the corn futures contract discounts and/or premiums shall be settled between the owner and the designated delivery warehouse.</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corn may be delivered in the form of bulk grain or in sack grain. The package of the sack grain shall be the gunny sack. The prices of the packages shall be determined by the Exchange and published prior to the listing of the corn contract.</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trading price of the corn futures contract shall be the bulk grain price. The packing payments shall be settled between the owner and the designated delivery warehouse.</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gunny sack shall be 107±5 centimeters long and 74±3 centimeters wide without any damage or leakage. With respect to its cleanness, the gunny sack must be of no pollution or contamination from any toxic substances, and of no grease or oil dirt, mildew, or serious pollution or contamination from coal ash, lime, iron rust, soil, water stains or otherwise. The Exchange may adjust the packaging standards on the basis of the market situation of the physical markets.</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The packages and/or the accompanying documents shall bear the name, category, grade, place of origin and harvesting year and month of the products.</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quantity of the corn packages shall be calculated by taking twelve (12) gunny sacks as one (1) ton. Each gunny sack shall be deemed to weigh zero point nine (0.9) kilogram.</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 xml:space="preserve">The sewing of the gunny sack shall be machine sewing or manual sewing. The machine sewing must satisfy the requirements that both ends of the opening thereof shall be tightly sewed and that the opening shall be double sewed; and the manual sewing must satisfy the requirement that the opening shall be sewed sixteen (16) times or more with double threads. In </w:t>
      </w:r>
      <w:r>
        <w:rPr>
          <w:rFonts w:ascii="Times New Roman" w:hAnsi="Times New Roman" w:cs="Times New Roman"/>
          <w:color w:val="0D0D0D"/>
          <w:sz w:val="24"/>
          <w:szCs w:val="24"/>
        </w:rPr>
        <w:lastRenderedPageBreak/>
        <w:t>case the sewing of the opening thereof fails to satisfy such requirements, the gunny sack or sewing will be replaced or additionally made by the designated delivery warehouse with any extra expenses to be borne by the seller owner.</w:t>
      </w:r>
    </w:p>
    <w:p w:rsidR="002F2BD9" w:rsidRDefault="002F2BD9" w:rsidP="002F2BD9">
      <w:pPr>
        <w:widowControl w:val="0"/>
        <w:numPr>
          <w:ilvl w:val="0"/>
          <w:numId w:val="1"/>
        </w:numPr>
        <w:adjustRightInd w:val="0"/>
        <w:snapToGrid w:val="0"/>
        <w:spacing w:before="200" w:line="288" w:lineRule="auto"/>
        <w:rPr>
          <w:rFonts w:ascii="Times New Roman" w:hAnsi="Times New Roman" w:cs="Times New Roman"/>
          <w:color w:val="0D0D0D"/>
          <w:sz w:val="24"/>
          <w:szCs w:val="24"/>
        </w:rPr>
      </w:pPr>
      <w:r>
        <w:rPr>
          <w:rFonts w:ascii="Times New Roman" w:hAnsi="Times New Roman" w:cs="Times New Roman"/>
          <w:color w:val="0D0D0D"/>
          <w:sz w:val="24"/>
          <w:szCs w:val="24"/>
        </w:rPr>
        <w:t>The dedicated VAT invoice shall be issued for delivery of corn.</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delivery commissions, the sampling and inspection fees, the storage and dissipation fees (including the warehousing fees, custody dissipation, fumigation fees) and other fees of Corn shall be separately published by the Exchange. During the period from May 1 to October 31, the high-temperature storage fees shall be additionally charged.</w:t>
      </w:r>
    </w:p>
    <w:p w:rsidR="002F2BD9" w:rsidRDefault="002F2BD9" w:rsidP="002F2BD9">
      <w:pPr>
        <w:adjustRightInd w:val="0"/>
        <w:snapToGrid w:val="0"/>
        <w:spacing w:before="200" w:line="288" w:lineRule="auto"/>
        <w:jc w:val="center"/>
        <w:rPr>
          <w:rFonts w:ascii="Times New Roman" w:hAnsi="Times New Roman" w:cs="Times New Roman"/>
          <w:color w:val="0D0D0D"/>
          <w:sz w:val="24"/>
          <w:szCs w:val="24"/>
        </w:rPr>
      </w:pPr>
      <w:r>
        <w:rPr>
          <w:rFonts w:ascii="Times New Roman" w:hAnsi="Times New Roman" w:cs="Times New Roman"/>
          <w:color w:val="0D0D0D"/>
          <w:sz w:val="24"/>
          <w:szCs w:val="24"/>
        </w:rPr>
        <w:t>Section II  Standard Warehouse Receipt Delivery</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 xml:space="preserve">The </w:t>
      </w:r>
      <w:r>
        <w:rPr>
          <w:rFonts w:ascii="Times New Roman" w:hAnsi="Times New Roman" w:cs="Times New Roman"/>
          <w:i/>
          <w:color w:val="0D0D0D"/>
          <w:sz w:val="24"/>
          <w:szCs w:val="24"/>
        </w:rPr>
        <w:t>Measures for Standard Warehouse Receipt Management of Dalian Commodity Exchange</w:t>
      </w:r>
      <w:r>
        <w:rPr>
          <w:rFonts w:ascii="Times New Roman" w:hAnsi="Times New Roman" w:cs="Times New Roman"/>
          <w:color w:val="0D0D0D"/>
          <w:sz w:val="24"/>
          <w:szCs w:val="24"/>
        </w:rPr>
        <w:t xml:space="preserve"> shall apply to the generation, circulation and deregistration of the standard warehouse receipts, if not provided in the Detailed Rules.</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Member shall pay the notice of intent to deliver earnest money to the Exchange as per the standard of CNY ten (10) per ton when it handles the notice of intent to deliver.</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owner which has fully completed the notice of intent to deliver shall, before consignment, notify the designated delivery warehouse of the vehicle or vessel number, products, quantity, arrival time and other information, and the designated delivery warehouse shall reasonably arrange for receipt and loading-in of the commodities.</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 xml:space="preserve">With respect to a designated delivery warehouse which has an extended warehouse area, the owner may choose to have the loading-in made at the main warehouse area or the extended warehouse area when corn is loaded in the warehouse. The owner which chooses to have the loading-in made at the extended warehouse area shall negotiate with the designated delivery warehouse with respect to the quantity of the goods to be consigned to the extended warehouse area and the discount and/or premium between the main warehouse area and the extended warehouse area. The designated delivery warehouse shall submit to the Exchange the bank guarantee letter and/or cash deposit or other method of security acceptable by the Exchange when it applies for registration of standard warehouse receipts for the goods located at the extended warehouse area. The standard warehouse receipt shall be registered after (i) the application for the standard warehouse receipt has been confirmed by the Member, (ii) the relevant security has been provided by the designated delivery </w:t>
      </w:r>
      <w:r>
        <w:rPr>
          <w:rFonts w:ascii="Times New Roman" w:hAnsi="Times New Roman" w:cs="Times New Roman"/>
          <w:color w:val="0D0D0D"/>
          <w:sz w:val="24"/>
          <w:szCs w:val="24"/>
        </w:rPr>
        <w:lastRenderedPageBreak/>
        <w:t>warehouse to the Exchange, and (iii) an approval has been made by the Exchange after examination.</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receiving and consigning weights of corn shall be subject to the weighting by the designated delivery warehouse.</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designated delivery warehouse shall conduct inspection of the corn loaded in the warehouse subject to the applicable provisions of the Exchange. In case the inspection results are conforming, the designated delivery warehouse shall submit the relevant inspection report to the Exchange. The Exchange or the quality inspection agency entrusted by the Exchange shall verify the commodities loaded in the warehouse, and only after it has confirmed that there is no error, can the commodities loaded in the warehouse be deemed to pass the inspection.</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deregistration of standard warehouse receipts shall be carried out against the standard warehouse receipts of the corn prior to the last trading day of each March.</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Under the circumstance the goods are stored at a designated delivery warehouse with an extended warehouse area, the client shall contact the designated delivery warehouse prior to the deregistration of the warehouse receipts to have the following items confirmed:</w:t>
      </w:r>
    </w:p>
    <w:p w:rsidR="002F2BD9" w:rsidRDefault="002F2BD9" w:rsidP="002F2BD9">
      <w:pPr>
        <w:widowControl w:val="0"/>
        <w:numPr>
          <w:ilvl w:val="0"/>
          <w:numId w:val="2"/>
        </w:numPr>
        <w:adjustRightInd w:val="0"/>
        <w:snapToGrid w:val="0"/>
        <w:spacing w:before="200" w:line="288" w:lineRule="auto"/>
        <w:ind w:left="1798" w:hanging="539"/>
        <w:rPr>
          <w:rFonts w:ascii="Times New Roman" w:hAnsi="Times New Roman" w:cs="Times New Roman"/>
          <w:color w:val="0D0D0D"/>
          <w:sz w:val="24"/>
          <w:szCs w:val="24"/>
        </w:rPr>
      </w:pPr>
      <w:r>
        <w:rPr>
          <w:rFonts w:ascii="Times New Roman" w:hAnsi="Times New Roman" w:cs="Times New Roman"/>
          <w:color w:val="0D0D0D"/>
          <w:sz w:val="24"/>
          <w:szCs w:val="24"/>
        </w:rPr>
        <w:t>in case all of the goods are located at the main warehouse area, the provisions of Article 35 hereof shall apply; or</w:t>
      </w:r>
    </w:p>
    <w:p w:rsidR="002F2BD9" w:rsidRDefault="002F2BD9" w:rsidP="002F2BD9">
      <w:pPr>
        <w:widowControl w:val="0"/>
        <w:numPr>
          <w:ilvl w:val="0"/>
          <w:numId w:val="2"/>
        </w:numPr>
        <w:adjustRightInd w:val="0"/>
        <w:snapToGrid w:val="0"/>
        <w:spacing w:before="200" w:line="288" w:lineRule="auto"/>
        <w:ind w:left="1798" w:hanging="539"/>
        <w:rPr>
          <w:rFonts w:ascii="Times New Roman" w:hAnsi="Times New Roman" w:cs="Times New Roman"/>
          <w:color w:val="0D0D0D"/>
          <w:sz w:val="24"/>
          <w:szCs w:val="24"/>
        </w:rPr>
      </w:pPr>
      <w:r>
        <w:rPr>
          <w:rFonts w:ascii="Times New Roman" w:hAnsi="Times New Roman" w:cs="Times New Roman"/>
          <w:color w:val="0D0D0D"/>
          <w:sz w:val="24"/>
          <w:szCs w:val="24"/>
        </w:rPr>
        <w:t>in case all or part of the goods are located at the extended warehouse area, the owner may choose to pick up the goods at the main warehouse area or at the extended warehouse area where the goods are located. In case the owner chooses to pick up the goods at the main warehouse area, the designated delivery warehouse shall be responsible for delivering the goods to the main warehouse area, with the transportation costs and other expenses to be borne by the designated delivery warehouse. In case the owner chooses to pick up the goods at the extended warehouse area, it shall negotiate with the designated delivery warehouse to confirm the quantity of the goods to be picked up at the extended warehouse area and the premium and/or discount between the main warehouse area and the extended warehouse area. The owner shall deregister the warehouse receipts within one (1) working day after the foregoing matters have been confirmed.</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 xml:space="preserve">It shall be deemed that the goods are picked up at the main warehouse area in case the owner fails to contact the designated delivery warehouse to </w:t>
      </w:r>
      <w:r>
        <w:rPr>
          <w:rFonts w:ascii="Times New Roman" w:hAnsi="Times New Roman" w:cs="Times New Roman"/>
          <w:color w:val="0D0D0D"/>
          <w:sz w:val="24"/>
          <w:szCs w:val="24"/>
        </w:rPr>
        <w:lastRenderedPageBreak/>
        <w:t>have the foregoing matters confirmed prior to the deregistration of standard warehouse receipts.</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group delivery warehouse shall designate one (1) sole sub-warehouse in northeast area for each non-northeast area sub-warehouse, to be the corresponding sub-warehouse with the consent of the Exchange.</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Any client that holds the standard warehouse receipts of a non-northeast area sub-warehouse shall, prior to the deregistration of the warehouse receipts, choose to pick up goods at such sub-warehouse or its corresponding sub-warehouse, and shall input its intended sub-warehouse for pick-up in the electronic warehouse system.</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When the corn is loaded out of the storage warehouse, the owner which holds the Notice to Load Out or load-out password shall contact the designated delivery warehouse for the loading-out matters three (3) calendar days prior to the actual pickup date, and shall pick up the commodities at the designated delivery warehouse within ten (10) working days (inclusive of the tenth working day) after the deregistration of standard warehouse receipts.</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 xml:space="preserve">If the owner has any objection on quality of the loaded-out commodities, it shall first negotiate with the warehouse to solve the problem. If the negotiation fails, the owner shall file a written application for re-inspection within ten (10) working days from the date of deregistration of the standard warehouse receipts, provided that the commodities have not been loaded out of the warehouse. The application for re-inspection shall specify the name of the warehouse, the stack location, </w:t>
      </w:r>
      <w:r>
        <w:rPr>
          <w:rFonts w:ascii="Times New Roman" w:hAnsi="Times New Roman" w:cs="Times New Roman" w:hint="eastAsia"/>
          <w:color w:val="0D0D0D"/>
          <w:sz w:val="24"/>
          <w:szCs w:val="24"/>
        </w:rPr>
        <w:t>quantity, quality index</w:t>
      </w:r>
      <w:r>
        <w:rPr>
          <w:rFonts w:ascii="Times New Roman" w:hAnsi="Times New Roman" w:cs="Times New Roman"/>
          <w:color w:val="0D0D0D"/>
          <w:sz w:val="24"/>
          <w:szCs w:val="24"/>
        </w:rPr>
        <w:t xml:space="preserve"> and other information of the commodities to be re-inspected, leave the contact information and be affixed with the official seal of the owner. The owner shall be deemed to have no objection over quality of the loaded-out commodities if it does not file application in the prescribed manner within the prescribed period. The re-inspection shall be carried out by the designated quality inspection agency entrusted by the Exchange, and such re-inspection result shall be the basis for settlement of the dispute. The re-inspection fees shall be </w:t>
      </w:r>
      <w:r>
        <w:rPr>
          <w:rFonts w:ascii="Times New Roman" w:hAnsi="Times New Roman" w:cs="Times New Roman" w:hint="eastAsia"/>
          <w:color w:val="0D0D0D"/>
          <w:sz w:val="24"/>
          <w:szCs w:val="24"/>
        </w:rPr>
        <w:t>advanced</w:t>
      </w:r>
      <w:r>
        <w:rPr>
          <w:rFonts w:ascii="Times New Roman" w:hAnsi="Times New Roman" w:cs="Times New Roman"/>
          <w:color w:val="0D0D0D"/>
          <w:sz w:val="24"/>
          <w:szCs w:val="24"/>
        </w:rPr>
        <w:t xml:space="preserve"> by the owner. If the re-inspection result is in conformity with the inspection result confirmed by the warehouse, the</w:t>
      </w:r>
      <w:r>
        <w:rPr>
          <w:rFonts w:ascii="Times New Roman" w:hAnsi="Times New Roman" w:cs="Times New Roman"/>
          <w:sz w:val="24"/>
          <w:szCs w:val="24"/>
        </w:rPr>
        <w:t xml:space="preserve"> </w:t>
      </w:r>
      <w:r>
        <w:rPr>
          <w:rFonts w:ascii="Times New Roman" w:hAnsi="Times New Roman" w:cs="Times New Roman"/>
          <w:color w:val="0D0D0D"/>
          <w:sz w:val="24"/>
          <w:szCs w:val="24"/>
        </w:rPr>
        <w:t>relevant fees (including but not limited to the inspection fees, traveling expenses) as well as any losses incurred thereby shall be borne by the owner; if not, relevant fees (including but not limited to the inspection fees, traveling expenses) as well as any losses incurred thereby shall be borne by the warehouse.</w:t>
      </w:r>
    </w:p>
    <w:p w:rsidR="002F2BD9" w:rsidRDefault="002F2BD9" w:rsidP="002F2BD9">
      <w:pPr>
        <w:widowControl w:val="0"/>
        <w:numPr>
          <w:ilvl w:val="0"/>
          <w:numId w:val="1"/>
        </w:numPr>
        <w:adjustRightInd w:val="0"/>
        <w:snapToGrid w:val="0"/>
        <w:spacing w:before="200" w:line="288" w:lineRule="auto"/>
        <w:ind w:left="1276" w:hanging="1276"/>
        <w:rPr>
          <w:rFonts w:ascii="Times New Roman" w:hAnsi="Times New Roman" w:cs="Times New Roman"/>
          <w:color w:val="0D0D0D"/>
          <w:sz w:val="24"/>
          <w:szCs w:val="24"/>
        </w:rPr>
      </w:pPr>
      <w:r>
        <w:rPr>
          <w:rFonts w:ascii="Times New Roman" w:hAnsi="Times New Roman" w:cs="Times New Roman"/>
          <w:color w:val="0D0D0D"/>
          <w:sz w:val="24"/>
          <w:szCs w:val="24"/>
        </w:rPr>
        <w:t xml:space="preserve">When the corn is loaded out of the factory warehouse, the owner shall </w:t>
      </w:r>
      <w:r>
        <w:rPr>
          <w:rFonts w:ascii="Times New Roman" w:hAnsi="Times New Roman" w:cs="Times New Roman"/>
          <w:color w:val="0D0D0D"/>
          <w:sz w:val="24"/>
          <w:szCs w:val="24"/>
        </w:rPr>
        <w:lastRenderedPageBreak/>
        <w:t>pick up the commodities at the factory warehouse within four (4) calendar days (inclusive of the fourth calendar day) following the deregistration day of the standard warehouse receipt (exclusive of the deregistration day). The factory warehouse shall commence consignment within four (4) calendar days (inclusive of the fourth calendar day) following the deregistration day of the standard warehouse receipt (exclusive of the deregistration day).</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When the corn is loaded out of the factory warehouse, the factory warehouse shall carry out the sampling under the owner's supervision, and the samples shall be sealed after being confirmed by both parties and shall be preserved for thirty (30) calendar days following the consignment day.</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 xml:space="preserve">If the owner has any objection on quality of the loaded-out commodities, it shall firstly negotiate with the factory warehouse. If the negotiation fails, the owner shall file </w:t>
      </w:r>
      <w:r>
        <w:rPr>
          <w:rFonts w:ascii="Times New Roman" w:hAnsi="Times New Roman" w:cs="Times New Roman"/>
          <w:sz w:val="24"/>
          <w:szCs w:val="24"/>
        </w:rPr>
        <w:t>a written</w:t>
      </w:r>
      <w:r>
        <w:rPr>
          <w:rFonts w:ascii="Times New Roman" w:hAnsi="Times New Roman" w:cs="Times New Roman"/>
          <w:color w:val="0D0D0D"/>
          <w:sz w:val="24"/>
          <w:szCs w:val="24"/>
        </w:rPr>
        <w:t xml:space="preserve"> application for re-inspection to the Exchange within ten (10) working days following the consignment date. The re-inspection of the reserved samples shall be carried out by the designated quality inspection agency entrusted by the Exchange, and the inspection result of the samples shall be the basis for settlement of the dispute. Where there is no provision herein, the relevant provisions of Article 36 hereof shall be applicable by reference.</w:t>
      </w:r>
    </w:p>
    <w:p w:rsidR="002F2BD9" w:rsidRDefault="002F2BD9" w:rsidP="002F2BD9">
      <w:pPr>
        <w:widowControl w:val="0"/>
        <w:numPr>
          <w:ilvl w:val="0"/>
          <w:numId w:val="1"/>
        </w:numPr>
        <w:adjustRightInd w:val="0"/>
        <w:snapToGrid w:val="0"/>
        <w:spacing w:before="200" w:line="288" w:lineRule="auto"/>
        <w:ind w:left="1276" w:hanging="1276"/>
        <w:rPr>
          <w:rFonts w:ascii="Times New Roman" w:hAnsi="Times New Roman" w:cs="Times New Roman"/>
          <w:color w:val="0D0D0D"/>
          <w:sz w:val="24"/>
          <w:szCs w:val="24"/>
        </w:rPr>
      </w:pPr>
      <w:r>
        <w:rPr>
          <w:rFonts w:ascii="Times New Roman" w:hAnsi="Times New Roman" w:cs="Times New Roman"/>
          <w:color w:val="0D0D0D"/>
          <w:sz w:val="24"/>
          <w:szCs w:val="24"/>
        </w:rPr>
        <w:t>Where the factory warehouse consigns commodities to the owner at a speed no higher than the daily consignment speed but the owner fails to pick up the commodities due to its transportation capability or any other reason attributable to the owner, the owner shall pay to the factory warehouse the late fee. The late fee shall be determined according to the following methods:</w:t>
      </w:r>
    </w:p>
    <w:p w:rsidR="002F2BD9" w:rsidRDefault="002F2BD9" w:rsidP="002F2BD9">
      <w:pPr>
        <w:widowControl w:val="0"/>
        <w:numPr>
          <w:ilvl w:val="0"/>
          <w:numId w:val="3"/>
        </w:numPr>
        <w:tabs>
          <w:tab w:val="left" w:pos="1843"/>
        </w:tabs>
        <w:adjustRightInd w:val="0"/>
        <w:snapToGrid w:val="0"/>
        <w:spacing w:before="200" w:line="288" w:lineRule="auto"/>
        <w:ind w:left="1843" w:hanging="567"/>
        <w:rPr>
          <w:rFonts w:ascii="Times New Roman" w:hAnsi="Times New Roman" w:cs="Times New Roman"/>
          <w:color w:val="0D0D0D"/>
          <w:sz w:val="24"/>
          <w:szCs w:val="24"/>
        </w:rPr>
      </w:pPr>
      <w:r>
        <w:rPr>
          <w:rFonts w:ascii="Times New Roman" w:hAnsi="Times New Roman" w:cs="Times New Roman"/>
          <w:color w:val="0D0D0D"/>
          <w:sz w:val="24"/>
          <w:szCs w:val="24"/>
        </w:rPr>
        <w:t>from the starting date of commodities pick-up (inclusive of the then-current day), for each day, the amount of late fee on the then-current day shall be figured out by multiplying the quantity of the commodities which shall be picked up but fail to be picked up on the then-current day by the corresponding amount of late fee; and</w:t>
      </w:r>
    </w:p>
    <w:p w:rsidR="002F2BD9" w:rsidRDefault="002F2BD9" w:rsidP="002F2BD9">
      <w:pPr>
        <w:widowControl w:val="0"/>
        <w:numPr>
          <w:ilvl w:val="0"/>
          <w:numId w:val="3"/>
        </w:numPr>
        <w:tabs>
          <w:tab w:val="left" w:pos="1843"/>
        </w:tabs>
        <w:adjustRightInd w:val="0"/>
        <w:snapToGrid w:val="0"/>
        <w:spacing w:before="200" w:line="288" w:lineRule="auto"/>
        <w:ind w:left="1843" w:hanging="567"/>
        <w:rPr>
          <w:rFonts w:ascii="Times New Roman" w:hAnsi="Times New Roman" w:cs="Times New Roman"/>
          <w:color w:val="0D0D0D"/>
          <w:sz w:val="24"/>
          <w:szCs w:val="24"/>
        </w:rPr>
      </w:pPr>
      <w:r>
        <w:rPr>
          <w:rFonts w:ascii="Times New Roman" w:hAnsi="Times New Roman" w:cs="Times New Roman"/>
          <w:color w:val="0D0D0D"/>
          <w:sz w:val="24"/>
          <w:szCs w:val="24"/>
        </w:rPr>
        <w:t>to the completion date of commodities pick-up (exclusive of the then-current day), the total amount of late fee which the owner shall pay to the factory warehouse shall be figured out on the basis of totaling the daily amount of late fee.</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Amount of late fee = CNY 2/Ton*Day.</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 xml:space="preserve">If the pick-up is carried out after the date of expiry of the pick-up period (exclusive of the expiration day) and within nineteen (19) calendar days </w:t>
      </w:r>
      <w:r>
        <w:rPr>
          <w:rFonts w:ascii="Times New Roman" w:hAnsi="Times New Roman" w:cs="Times New Roman"/>
          <w:color w:val="0D0D0D"/>
          <w:sz w:val="24"/>
          <w:szCs w:val="24"/>
        </w:rPr>
        <w:lastRenderedPageBreak/>
        <w:t>(inclusive of the nineteenth day) following the date of deregistration of the standard warehouse receipt (exclusive of the deregistration day), the owner shall pay the late fee to the factory warehouse, and the factory warehouse shall assume the liability related to the commodity quality, consignment time and consignment speed pursuant to the futures standards, until all the futures commodities have been consigned.</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 xml:space="preserve">The late fee shall be determined according to the following methods: </w:t>
      </w:r>
    </w:p>
    <w:p w:rsidR="002F2BD9" w:rsidRDefault="002F2BD9" w:rsidP="002F2BD9">
      <w:pPr>
        <w:widowControl w:val="0"/>
        <w:numPr>
          <w:ilvl w:val="0"/>
          <w:numId w:val="4"/>
        </w:numPr>
        <w:adjustRightInd w:val="0"/>
        <w:snapToGrid w:val="0"/>
        <w:spacing w:before="200" w:line="288" w:lineRule="auto"/>
        <w:ind w:left="1843" w:hanging="567"/>
        <w:rPr>
          <w:rFonts w:ascii="Times New Roman" w:hAnsi="Times New Roman" w:cs="Times New Roman"/>
          <w:color w:val="0D0D0D"/>
          <w:sz w:val="24"/>
          <w:szCs w:val="24"/>
        </w:rPr>
      </w:pPr>
      <w:r>
        <w:rPr>
          <w:rFonts w:ascii="Times New Roman" w:hAnsi="Times New Roman" w:cs="Times New Roman"/>
          <w:color w:val="0D0D0D"/>
          <w:sz w:val="24"/>
          <w:szCs w:val="24"/>
        </w:rPr>
        <w:t>from the date of expiration of the pick-up period (inclusive of the expiration day), for each day, the amount of late fee on the then-current day shall be figured out by multiplying the quantity of the commodities which shall be picked up but fail to be picked up on the then-current day by the corresponding amount of late fee; and</w:t>
      </w:r>
    </w:p>
    <w:p w:rsidR="002F2BD9" w:rsidRDefault="002F2BD9" w:rsidP="002F2BD9">
      <w:pPr>
        <w:widowControl w:val="0"/>
        <w:numPr>
          <w:ilvl w:val="0"/>
          <w:numId w:val="4"/>
        </w:numPr>
        <w:adjustRightInd w:val="0"/>
        <w:snapToGrid w:val="0"/>
        <w:spacing w:before="200" w:line="288" w:lineRule="auto"/>
        <w:ind w:left="1843" w:hanging="567"/>
        <w:rPr>
          <w:rFonts w:ascii="Times New Roman" w:hAnsi="Times New Roman" w:cs="Times New Roman"/>
          <w:color w:val="0D0D0D"/>
          <w:sz w:val="24"/>
          <w:szCs w:val="24"/>
        </w:rPr>
      </w:pPr>
      <w:r>
        <w:rPr>
          <w:rFonts w:ascii="Times New Roman" w:hAnsi="Times New Roman" w:cs="Times New Roman"/>
          <w:color w:val="0D0D0D"/>
          <w:sz w:val="24"/>
          <w:szCs w:val="24"/>
        </w:rPr>
        <w:t>to the completion date of pick-up (exclusive of the then-current day), the total amount of late fee which the owner shall pay to the factory warehouse shall be figured out on the basis of totaling the daily amount of late fee.</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Amount of late fee = CNY 2/Ton*Day.</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If the owner picks up the goods at the factory warehouse after nineteen (19) calendar days (exclusive of the nineteenth day) following the date of deregistration of the standard warehouse receipt (exclusive of the deregistration day), the owner shall pay the late fee to the factory warehouse as calculated in the following formula, and the factory warehouse shall assume no liability related to the commodity quality, consignment time and consignment speed pursuant to the futures standards.</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Amount of late fee = CNY 2/Ton*Day × quantity of all the commodities × 19 Days</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Where the factory warehouse fails to consign commodities according to the required daily consignment speed but timely completes the consignment of all the commodities, the factory warehouse shall compensate the owner.</w:t>
      </w:r>
    </w:p>
    <w:p w:rsidR="002F2BD9" w:rsidRDefault="002F2BD9" w:rsidP="002F2BD9">
      <w:pPr>
        <w:autoSpaceDE w:val="0"/>
        <w:autoSpaceDN w:val="0"/>
        <w:adjustRightInd w:val="0"/>
        <w:snapToGrid w:val="0"/>
        <w:spacing w:before="200" w:line="288" w:lineRule="auto"/>
        <w:ind w:left="1259" w:firstLine="17"/>
        <w:rPr>
          <w:rFonts w:ascii="Times New Roman" w:hAnsi="Times New Roman" w:cs="Times New Roman"/>
          <w:color w:val="0D0D0D"/>
          <w:sz w:val="24"/>
          <w:szCs w:val="24"/>
        </w:rPr>
      </w:pPr>
      <w:r>
        <w:rPr>
          <w:rFonts w:ascii="Times New Roman" w:hAnsi="Times New Roman" w:cs="Times New Roman"/>
          <w:color w:val="0D0D0D"/>
          <w:sz w:val="24"/>
          <w:szCs w:val="24"/>
        </w:rPr>
        <w:t>Amount of compensation = delivery settlement price of the last delivery month completed of such commodity × quantity of the commodities which shall be, but fail to be, consigned according to the required daily consignment speed × 5%</w:t>
      </w:r>
    </w:p>
    <w:p w:rsidR="002F2BD9" w:rsidRDefault="002F2BD9" w:rsidP="002F2BD9">
      <w:pPr>
        <w:widowControl w:val="0"/>
        <w:numPr>
          <w:ilvl w:val="0"/>
          <w:numId w:val="1"/>
        </w:numPr>
        <w:adjustRightInd w:val="0"/>
        <w:snapToGrid w:val="0"/>
        <w:spacing w:before="200" w:line="288" w:lineRule="auto"/>
        <w:ind w:left="1276" w:hanging="1276"/>
        <w:rPr>
          <w:rFonts w:ascii="Times New Roman" w:hAnsi="Times New Roman" w:cs="Times New Roman"/>
          <w:color w:val="0D0D0D"/>
          <w:sz w:val="24"/>
          <w:szCs w:val="24"/>
        </w:rPr>
      </w:pPr>
      <w:r>
        <w:rPr>
          <w:rFonts w:ascii="Times New Roman" w:hAnsi="Times New Roman" w:cs="Times New Roman"/>
          <w:color w:val="0D0D0D"/>
          <w:sz w:val="24"/>
          <w:szCs w:val="24"/>
        </w:rPr>
        <w:t xml:space="preserve">Where the factory warehouse fails to timely complete the consignment of </w:t>
      </w:r>
      <w:r>
        <w:rPr>
          <w:rFonts w:ascii="Times New Roman" w:hAnsi="Times New Roman" w:cs="Times New Roman"/>
          <w:color w:val="0D0D0D"/>
          <w:sz w:val="24"/>
          <w:szCs w:val="24"/>
        </w:rPr>
        <w:lastRenderedPageBreak/>
        <w:t>all the commodities, the factory warehouse shall, in addition to the compensation provided in Article 41 herein, compensate the owner, and the amount of compensation = delivery settlement price of the last delivery month completed of such commodity × quantity of the commodities which shall be, but fail to be, consigned according to the total quantity of the commodities × 5%; the following procedures shall apply to such failure:</w:t>
      </w:r>
    </w:p>
    <w:p w:rsidR="002F2BD9" w:rsidRDefault="002F2BD9" w:rsidP="002F2BD9">
      <w:pPr>
        <w:widowControl w:val="0"/>
        <w:numPr>
          <w:ilvl w:val="0"/>
          <w:numId w:val="5"/>
        </w:numPr>
        <w:adjustRightInd w:val="0"/>
        <w:snapToGrid w:val="0"/>
        <w:spacing w:before="200" w:line="288" w:lineRule="auto"/>
        <w:ind w:left="1843" w:hanging="567"/>
        <w:rPr>
          <w:rFonts w:ascii="Times New Roman" w:hAnsi="Times New Roman" w:cs="Times New Roman"/>
          <w:color w:val="0D0D0D"/>
          <w:sz w:val="24"/>
          <w:szCs w:val="24"/>
        </w:rPr>
      </w:pPr>
      <w:r>
        <w:rPr>
          <w:rFonts w:ascii="Times New Roman" w:hAnsi="Times New Roman" w:cs="Times New Roman"/>
          <w:color w:val="0D0D0D"/>
          <w:sz w:val="24"/>
          <w:szCs w:val="24"/>
        </w:rPr>
        <w:t>the Exchange shall supply to the owner the physical commodities of the same quality and quantity of other factory warehouses or locations and bear all the costs and expenses arising out of or in connection with the adjustment of the delivery site and the delayed consignment; or</w:t>
      </w:r>
    </w:p>
    <w:p w:rsidR="002F2BD9" w:rsidRDefault="002F2BD9" w:rsidP="002F2BD9">
      <w:pPr>
        <w:widowControl w:val="0"/>
        <w:numPr>
          <w:ilvl w:val="0"/>
          <w:numId w:val="5"/>
        </w:numPr>
        <w:adjustRightInd w:val="0"/>
        <w:snapToGrid w:val="0"/>
        <w:spacing w:before="200" w:line="288" w:lineRule="auto"/>
        <w:ind w:left="1826" w:hanging="567"/>
        <w:rPr>
          <w:rFonts w:ascii="Times New Roman" w:hAnsi="Times New Roman" w:cs="Times New Roman"/>
          <w:color w:val="0D0D0D"/>
          <w:sz w:val="24"/>
          <w:szCs w:val="24"/>
          <w:shd w:val="pct10" w:color="auto" w:fill="FFFFFF"/>
        </w:rPr>
      </w:pPr>
      <w:r>
        <w:rPr>
          <w:rFonts w:ascii="Times New Roman" w:hAnsi="Times New Roman" w:cs="Times New Roman"/>
          <w:color w:val="0D0D0D"/>
          <w:sz w:val="24"/>
          <w:szCs w:val="24"/>
        </w:rPr>
        <w:t>where the Exchange fails to supply the above commodities, the Exchange shall refund to the owner the payment of the commodities and compensate the owner.</w:t>
      </w:r>
    </w:p>
    <w:p w:rsidR="002F2BD9" w:rsidRDefault="002F2BD9" w:rsidP="002F2BD9">
      <w:pPr>
        <w:adjustRightInd w:val="0"/>
        <w:snapToGrid w:val="0"/>
        <w:spacing w:before="200" w:line="288" w:lineRule="auto"/>
        <w:ind w:left="1826"/>
        <w:rPr>
          <w:rFonts w:ascii="Times New Roman" w:hAnsi="Times New Roman" w:cs="Times New Roman"/>
          <w:color w:val="0D0D0D"/>
          <w:sz w:val="24"/>
          <w:szCs w:val="24"/>
        </w:rPr>
      </w:pPr>
      <w:r>
        <w:rPr>
          <w:rFonts w:ascii="Times New Roman" w:hAnsi="Times New Roman" w:cs="Times New Roman"/>
          <w:color w:val="0D0D0D"/>
          <w:sz w:val="24"/>
          <w:szCs w:val="24"/>
        </w:rPr>
        <w:t>Amount of refunded payment of commodities and compensation = delivery settlement price of the last delivery month completed of such commodity × quantity of the commodities which shall be, but fail to be, consigned according to the total quantity of the commodities × 120%.</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 xml:space="preserve">In the event of any violation by the factory warehouse described in Article 41 or 42 herein, the compensation shall firstly be paid to the owner by the factory warehouse. Where the factory warehouse fails to pay such compensation or the amount of compensation is insufficient, such situation shall be handled by the Exchange subject to the applicable provisions of the </w:t>
      </w:r>
      <w:r>
        <w:rPr>
          <w:rFonts w:ascii="Times New Roman" w:hAnsi="Times New Roman" w:cs="Times New Roman"/>
          <w:i/>
          <w:color w:val="0D0D0D"/>
          <w:sz w:val="24"/>
          <w:szCs w:val="24"/>
        </w:rPr>
        <w:t>Measures for Standard Warehouse Receipt Management of Dalian Commodity Exchange.</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load-out of the extended warehouse area of the goods located at the extended warehouse area and the settlement of disputes over the quality of the loaded-out commodities, shall be subject to relevant provisions of Article 35 and Article 36 herein by reference.</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 xml:space="preserve">In case the goods located at the extended warehouse area is loaded out of and from the main warehouse area, the designated delivery warehouse shall deliver all of the goods with the mutually negotiated quantity to the main warehouse area within ten (10) calendar days after standard warehouse receipts are deregistered. During the period when the goods are delivered from the extended warehouse area to the main warehouse area, the designated delivery warehouse shall not collect storage charges and </w:t>
      </w:r>
      <w:r>
        <w:rPr>
          <w:rFonts w:ascii="Times New Roman" w:hAnsi="Times New Roman" w:cs="Times New Roman"/>
          <w:color w:val="0D0D0D"/>
          <w:sz w:val="24"/>
          <w:szCs w:val="24"/>
        </w:rPr>
        <w:lastRenderedPageBreak/>
        <w:t>shall pay the deferred compensation to the owner.</w:t>
      </w:r>
    </w:p>
    <w:p w:rsidR="002F2BD9" w:rsidRDefault="002F2BD9" w:rsidP="002F2BD9">
      <w:pPr>
        <w:adjustRightInd w:val="0"/>
        <w:snapToGrid w:val="0"/>
        <w:spacing w:before="200" w:line="288" w:lineRule="auto"/>
        <w:ind w:left="1260" w:firstLine="16"/>
        <w:rPr>
          <w:rFonts w:ascii="Times New Roman" w:hAnsi="Times New Roman" w:cs="Times New Roman"/>
          <w:color w:val="0D0D0D"/>
          <w:sz w:val="24"/>
          <w:szCs w:val="24"/>
        </w:rPr>
      </w:pPr>
      <w:r>
        <w:rPr>
          <w:rFonts w:ascii="Times New Roman" w:hAnsi="Times New Roman" w:cs="Times New Roman"/>
          <w:color w:val="0D0D0D"/>
          <w:sz w:val="24"/>
          <w:szCs w:val="24"/>
        </w:rPr>
        <w:t>The deferred compensation = CNY 0.5 /Ton*Day × the mutually negotiated quantity of the goods to be delivered from the extended warehouse area to the main warehouse area × the number of days.</w:t>
      </w:r>
    </w:p>
    <w:p w:rsidR="002F2BD9" w:rsidRDefault="002F2BD9" w:rsidP="002F2BD9">
      <w:pPr>
        <w:adjustRightInd w:val="0"/>
        <w:snapToGrid w:val="0"/>
        <w:spacing w:before="200" w:line="288" w:lineRule="auto"/>
        <w:ind w:left="1260" w:firstLine="16"/>
        <w:rPr>
          <w:rFonts w:ascii="Times New Roman" w:hAnsi="Times New Roman" w:cs="Times New Roman"/>
          <w:color w:val="0D0D0D"/>
          <w:sz w:val="24"/>
          <w:szCs w:val="24"/>
        </w:rPr>
      </w:pPr>
      <w:r>
        <w:rPr>
          <w:rFonts w:ascii="Times New Roman" w:hAnsi="Times New Roman" w:cs="Times New Roman"/>
          <w:color w:val="0D0D0D"/>
          <w:sz w:val="24"/>
          <w:szCs w:val="24"/>
        </w:rPr>
        <w:t>After all the goods are delivered, the designated delivery warehouse shall notify the owner by facsimile with confirmation by phone, and the facsimile sending time shall be the time the goods are delivered. The owner shall pick up the goods at the main warehouse area within ten (10) working days after its receipt of the pickup notice by the designated delivery warehouse. The designated delivery warehouse will collect the storage charges as per the standard for the physicals as of the fourth working day after notifying the owner to pick up the goods. The settlement of disputes over the quality of the loaded-out commodities, shall be subject to relevant stipulations of Article 36 herein by reference.</w:t>
      </w:r>
    </w:p>
    <w:p w:rsidR="002F2BD9" w:rsidRDefault="002F2BD9" w:rsidP="002F2BD9">
      <w:pPr>
        <w:adjustRightInd w:val="0"/>
        <w:snapToGrid w:val="0"/>
        <w:spacing w:before="200" w:line="288" w:lineRule="auto"/>
        <w:ind w:left="1260" w:firstLine="16"/>
        <w:rPr>
          <w:rFonts w:ascii="Times New Roman" w:hAnsi="Times New Roman" w:cs="Times New Roman"/>
          <w:color w:val="0D0D0D"/>
          <w:sz w:val="24"/>
          <w:szCs w:val="24"/>
        </w:rPr>
      </w:pPr>
      <w:r>
        <w:rPr>
          <w:rFonts w:ascii="Times New Roman" w:hAnsi="Times New Roman" w:cs="Times New Roman"/>
          <w:color w:val="0D0D0D"/>
          <w:sz w:val="24"/>
          <w:szCs w:val="24"/>
        </w:rPr>
        <w:t>In case the designated delivery warehouse fails to deliver the goods to the main warehouse area within ten (10) calendar days, it shall pay the liquidated damages calculated on the basis of the undelivered quantity to the owner.</w:t>
      </w:r>
    </w:p>
    <w:p w:rsidR="002F2BD9" w:rsidRDefault="002F2BD9" w:rsidP="002F2BD9">
      <w:pPr>
        <w:adjustRightInd w:val="0"/>
        <w:snapToGrid w:val="0"/>
        <w:spacing w:before="200" w:line="288" w:lineRule="auto"/>
        <w:ind w:left="1260" w:firstLine="16"/>
        <w:rPr>
          <w:rFonts w:ascii="Times New Roman" w:hAnsi="Times New Roman" w:cs="Times New Roman"/>
          <w:color w:val="0D0D0D"/>
          <w:sz w:val="24"/>
          <w:szCs w:val="24"/>
        </w:rPr>
      </w:pPr>
      <w:r>
        <w:rPr>
          <w:rFonts w:ascii="Times New Roman" w:hAnsi="Times New Roman" w:cs="Times New Roman"/>
          <w:color w:val="0D0D0D"/>
          <w:sz w:val="24"/>
          <w:szCs w:val="24"/>
        </w:rPr>
        <w:t>The liquidated damages = the mutually negotiated but undelivered quantity of the goods to be delivered from the extended warehouse area to the main warehouse area × the delivery settlement price of the recent delivery month × 5%.</w:t>
      </w:r>
    </w:p>
    <w:p w:rsidR="002F2BD9" w:rsidRDefault="002F2BD9" w:rsidP="002F2BD9">
      <w:pPr>
        <w:adjustRightInd w:val="0"/>
        <w:snapToGrid w:val="0"/>
        <w:spacing w:before="200" w:line="288" w:lineRule="auto"/>
        <w:ind w:left="1260" w:firstLine="16"/>
        <w:rPr>
          <w:rFonts w:ascii="Times New Roman" w:hAnsi="Times New Roman" w:cs="Times New Roman"/>
          <w:color w:val="0D0D0D"/>
          <w:sz w:val="24"/>
          <w:szCs w:val="24"/>
        </w:rPr>
      </w:pPr>
      <w:r>
        <w:rPr>
          <w:rFonts w:ascii="Times New Roman" w:hAnsi="Times New Roman" w:cs="Times New Roman"/>
          <w:color w:val="0D0D0D"/>
          <w:sz w:val="24"/>
          <w:szCs w:val="24"/>
        </w:rPr>
        <w:t>After the designated delivery warehouse pays the liquidated damages, the owner may choose either of the following methods to handle the commodities which fail to be delivered from the extended warehouse area to the main warehouse area:</w:t>
      </w:r>
    </w:p>
    <w:p w:rsidR="002F2BD9" w:rsidRDefault="002F2BD9" w:rsidP="002F2BD9">
      <w:pPr>
        <w:widowControl w:val="0"/>
        <w:numPr>
          <w:ilvl w:val="0"/>
          <w:numId w:val="6"/>
        </w:numPr>
        <w:adjustRightInd w:val="0"/>
        <w:snapToGrid w:val="0"/>
        <w:spacing w:before="200" w:line="288" w:lineRule="auto"/>
        <w:ind w:left="1843" w:hanging="567"/>
        <w:rPr>
          <w:rFonts w:ascii="Times New Roman" w:hAnsi="Times New Roman" w:cs="Times New Roman"/>
          <w:color w:val="0D0D0D"/>
          <w:sz w:val="24"/>
          <w:szCs w:val="24"/>
        </w:rPr>
      </w:pPr>
      <w:r>
        <w:rPr>
          <w:rFonts w:ascii="Times New Roman" w:hAnsi="Times New Roman" w:cs="Times New Roman"/>
          <w:color w:val="0D0D0D"/>
          <w:sz w:val="24"/>
          <w:szCs w:val="24"/>
        </w:rPr>
        <w:t>the designated delivery warehouse provides to the client the commodities in physicals of the same quality and quantity and shall bear all the costs and expenses arising out of the delayed consignment; or</w:t>
      </w:r>
    </w:p>
    <w:p w:rsidR="002F2BD9" w:rsidRDefault="002F2BD9" w:rsidP="002F2BD9">
      <w:pPr>
        <w:widowControl w:val="0"/>
        <w:numPr>
          <w:ilvl w:val="0"/>
          <w:numId w:val="6"/>
        </w:numPr>
        <w:adjustRightInd w:val="0"/>
        <w:snapToGrid w:val="0"/>
        <w:spacing w:before="200" w:line="288" w:lineRule="auto"/>
        <w:ind w:left="1798" w:hanging="539"/>
        <w:rPr>
          <w:rFonts w:ascii="Times New Roman" w:hAnsi="Times New Roman" w:cs="Times New Roman"/>
          <w:color w:val="0D0D0D"/>
          <w:sz w:val="24"/>
          <w:szCs w:val="24"/>
        </w:rPr>
      </w:pPr>
      <w:r>
        <w:rPr>
          <w:rFonts w:ascii="Times New Roman" w:hAnsi="Times New Roman" w:cs="Times New Roman"/>
          <w:color w:val="0D0D0D"/>
          <w:sz w:val="24"/>
          <w:szCs w:val="24"/>
        </w:rPr>
        <w:t>the owner picks up the goods personally, with all the costs and expenses arising out of the delayed consignment to be borne by the designated delivery warehouse.</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 xml:space="preserve">In case the sub-warehouse under the group delivery warehouse issues the standard warehouse receipt of storage warehouse, the load-out of such sub-warehouse of the corn and the settlement of disputes over the quality of the loaded-out commodities, shall be subject to relevant provisions of </w:t>
      </w:r>
      <w:r>
        <w:rPr>
          <w:rFonts w:ascii="Times New Roman" w:hAnsi="Times New Roman" w:cs="Times New Roman"/>
          <w:color w:val="0D0D0D"/>
          <w:sz w:val="24"/>
          <w:szCs w:val="24"/>
        </w:rPr>
        <w:lastRenderedPageBreak/>
        <w:t>Article 35 and Article 36 herein by reference.</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In case the sub-warehouse under the group delivery warehouse issues the standard factory warehouse receipt,</w:t>
      </w:r>
      <w:r>
        <w:rPr>
          <w:rFonts w:ascii="Times New Roman" w:hAnsi="Times New Roman" w:cs="Times New Roman"/>
          <w:color w:val="0D0D0D"/>
          <w:sz w:val="24"/>
          <w:szCs w:val="24"/>
          <w:shd w:val="clear" w:color="auto" w:fill="FFFFFF"/>
        </w:rPr>
        <w:t xml:space="preserve"> when the corn is loaded out of the sub-warehouse, the owner shall pick up the goods at the sub-warehouse within four (4) calendar days (inclusive of the fourth calendar day) following the deregistration day of the standard warehouse receipt (exclusive of the deregistration day).</w:t>
      </w:r>
      <w:r>
        <w:rPr>
          <w:rFonts w:ascii="Times New Roman" w:hAnsi="Times New Roman" w:cs="Times New Roman"/>
          <w:color w:val="0D0D0D"/>
          <w:sz w:val="24"/>
          <w:szCs w:val="24"/>
        </w:rPr>
        <w:t xml:space="preserve"> The sub-warehouse shall commence consignment within four (4) calendar days (inclusive of the fourth calendar day) following the deregistration day of the standard warehouse receipt (exclusive of the deregistration day). The Exchange shall determine and publish the daily consignment speed of the sub-warehouse. Any failure to pick up or consign the goods on time due to special weather or other factors shall be settled by both parties through mutual negotiations.</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When the corn is loaded out of the warehouse, the sub-warehouse shall carry out the sampling under the owner's supervision, and the samples shall be sealed after being confirmed by both parties and shall be preserved for thirty (30) calendar days following the consignment day. The settlement of disputes over the quality of the loaded-out commodities, shall be subject to Clause 3 of Article 37 herein by reference.</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When the sub-warehouse consigns goods to the owner at a speed no higher than the daily consignment speed, if the owner cannot pick up goods as scheduled due to transportation capability limitations or other reasons, or fails to pick up goods at the sub-warehouse within the pick-up period, the owner shall pay to the group delivery warehouse the late fee. The method for determination of the late fee and the relevant responsibilities of the owner and the sub-warehouse shall be determined by reference to the relevant provisions of the factory warehouse of the corn.</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In case the sub-warehouse fails to consign goods as per the prescribed consignment speed, or fails to complete the consignment of all commodities on time, the group delivery warehouse shall pay to the owner the damages. The method for determination of the damages and the relevant responsibilities of the group delivery warehouse and the Exchange shall be determined by reference to the relevant provisions of the factory warehouse of the corn. The group delivery warehouse and the owner may separately determine the consignment time and speed after mutual negotiations and agreement and written confirmation.</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 xml:space="preserve">The owner that chooses to pick up goods of the non-northeast area sub-warehouse at the corresponding sub-warehouse shall file an application for changing the pick-up location five (5) working days prior to the day of </w:t>
      </w:r>
      <w:r>
        <w:rPr>
          <w:rFonts w:ascii="Times New Roman" w:hAnsi="Times New Roman" w:cs="Times New Roman"/>
          <w:color w:val="0D0D0D"/>
          <w:sz w:val="24"/>
          <w:szCs w:val="24"/>
        </w:rPr>
        <w:lastRenderedPageBreak/>
        <w:t>deregistration of the standard warehouse receipt (exclusive of the deregistration day), and the corresponding standard warehouse receipt shall be frozen. The standard warehouse receipt shall be deregistered on the fifth working day following the day when the application is filed (exclusive of the application day). The owner shall pick up the goods at the corresponding sub-warehouse within four (4) calendar days (inclusive of the fourth calendar day) following the deregistration day of the standard warehouse receipt (exclusive of the deregistration day). The corresponding sub-warehouse shall commence consignment within four (4) calendar days (inclusive of the fourth calendar day) following the deregistration day of the standard warehouse receipt (exclusive of the deregistration day).</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The group delivery warehouse shall ensure that the daily consignment speed of the corresponding sub-warehouse shall not be lower than the daily consignment speed of the original non-northeast area sub-warehouse and that the quality of the goods shall conform to the futures delivery quality standards. The Exchange and the quality inspection agency as entrusted by the Exchange shall inspect the quality of the goods.</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When a corresponding sub-warehouse consigns goods to the owner at a speed no higher than the daily consignment speed prescribed in the preceding paragraph, if the owner cannot pick up goods on time due to transportation capability limitations or other reasons, or the owner fails to pick up goods at the corresponding sub-warehouse within the pick-up period, or the corresponding sub-warehouse fails to consign goods as per the prescribed</w:t>
      </w:r>
      <w:r>
        <w:rPr>
          <w:rFonts w:ascii="Times New Roman" w:hAnsi="Times New Roman" w:cs="Times New Roman"/>
          <w:sz w:val="24"/>
          <w:szCs w:val="24"/>
        </w:rPr>
        <w:t xml:space="preserve"> </w:t>
      </w:r>
      <w:r>
        <w:rPr>
          <w:rFonts w:ascii="Times New Roman" w:hAnsi="Times New Roman" w:cs="Times New Roman"/>
          <w:color w:val="0D0D0D"/>
          <w:sz w:val="24"/>
          <w:szCs w:val="24"/>
        </w:rPr>
        <w:t>daily consignment speed in the preceding paragraph, or fails to complete the consignment of all commodities on time, the relevant provisions of the factory warehouse of the corn shall apply by reference.</w:t>
      </w:r>
    </w:p>
    <w:p w:rsidR="002F2BD9" w:rsidRDefault="002F2BD9" w:rsidP="002F2BD9">
      <w:pPr>
        <w:adjustRightInd w:val="0"/>
        <w:snapToGrid w:val="0"/>
        <w:spacing w:before="200" w:line="288" w:lineRule="auto"/>
        <w:ind w:left="1259"/>
        <w:rPr>
          <w:rFonts w:ascii="Times New Roman" w:hAnsi="Times New Roman" w:cs="Times New Roman"/>
          <w:color w:val="0D0D0D"/>
          <w:sz w:val="24"/>
          <w:szCs w:val="24"/>
        </w:rPr>
      </w:pPr>
      <w:r>
        <w:rPr>
          <w:rFonts w:ascii="Times New Roman" w:hAnsi="Times New Roman" w:cs="Times New Roman"/>
          <w:color w:val="0D0D0D"/>
          <w:sz w:val="24"/>
          <w:szCs w:val="24"/>
        </w:rPr>
        <w:t>The corresponding sub-warehouse shall carry out the sampling under the owner's supervision, and the samples shall be sealed after being confirmed by both parties and shall be preserved for thirty (30) calendar days following the consignment day. The settlement of disputes over the quality of the loaded-out commodities, shall be subject to Clause 3 of Article 37 herein by reference.</w:t>
      </w:r>
    </w:p>
    <w:p w:rsidR="002F2BD9" w:rsidRDefault="002F2BD9" w:rsidP="002F2BD9">
      <w:pPr>
        <w:adjustRightInd w:val="0"/>
        <w:snapToGrid w:val="0"/>
        <w:spacing w:before="200" w:line="288" w:lineRule="auto"/>
        <w:jc w:val="center"/>
        <w:rPr>
          <w:rFonts w:ascii="Times New Roman" w:hAnsi="Times New Roman" w:cs="Times New Roman"/>
          <w:b/>
          <w:color w:val="0D0D0D"/>
          <w:sz w:val="24"/>
          <w:szCs w:val="24"/>
        </w:rPr>
      </w:pPr>
      <w:r>
        <w:rPr>
          <w:rFonts w:ascii="Times New Roman" w:hAnsi="Times New Roman" w:cs="Times New Roman"/>
          <w:b/>
          <w:color w:val="0D0D0D"/>
          <w:sz w:val="24"/>
          <w:szCs w:val="24"/>
        </w:rPr>
        <w:t>Chapter IV  Supplementary Provisions</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 xml:space="preserve">Any violation of the Detailed Rules shall be handled by the Exchange subject to the applicable provisions of the </w:t>
      </w:r>
      <w:r>
        <w:rPr>
          <w:rFonts w:ascii="Times New Roman" w:hAnsi="Times New Roman" w:cs="Times New Roman"/>
          <w:i/>
          <w:color w:val="0D0D0D"/>
          <w:sz w:val="24"/>
          <w:szCs w:val="24"/>
        </w:rPr>
        <w:t xml:space="preserve">Measures against Rule Violations of Dalian Commodity Exchange </w:t>
      </w:r>
      <w:r>
        <w:rPr>
          <w:rFonts w:ascii="Times New Roman" w:hAnsi="Times New Roman" w:cs="Times New Roman"/>
          <w:color w:val="0D0D0D"/>
          <w:sz w:val="24"/>
          <w:szCs w:val="24"/>
        </w:rPr>
        <w:t>and other rules.</w:t>
      </w:r>
    </w:p>
    <w:p w:rsidR="002F2BD9" w:rsidRDefault="002F2BD9" w:rsidP="002F2BD9">
      <w:pPr>
        <w:widowControl w:val="0"/>
        <w:numPr>
          <w:ilvl w:val="0"/>
          <w:numId w:val="1"/>
        </w:numPr>
        <w:adjustRightInd w:val="0"/>
        <w:snapToGrid w:val="0"/>
        <w:spacing w:before="200" w:line="288" w:lineRule="auto"/>
        <w:ind w:left="1259" w:hanging="1259"/>
        <w:rPr>
          <w:rFonts w:ascii="Times New Roman" w:hAnsi="Times New Roman" w:cs="Times New Roman"/>
          <w:color w:val="0D0D0D"/>
          <w:sz w:val="24"/>
          <w:szCs w:val="24"/>
        </w:rPr>
      </w:pPr>
      <w:r>
        <w:rPr>
          <w:rFonts w:ascii="Times New Roman" w:hAnsi="Times New Roman" w:cs="Times New Roman"/>
          <w:color w:val="0D0D0D"/>
          <w:sz w:val="24"/>
          <w:szCs w:val="24"/>
        </w:rPr>
        <w:t>The Exchange reserves the right to interpret the Detailed Rules.</w:t>
      </w:r>
    </w:p>
    <w:p w:rsidR="002F2BD9" w:rsidRDefault="002F2BD9" w:rsidP="002F2BD9">
      <w:pPr>
        <w:widowControl w:val="0"/>
        <w:numPr>
          <w:ilvl w:val="0"/>
          <w:numId w:val="1"/>
        </w:numPr>
        <w:adjustRightInd w:val="0"/>
        <w:snapToGrid w:val="0"/>
        <w:spacing w:before="200" w:line="288" w:lineRule="auto"/>
        <w:rPr>
          <w:rFonts w:ascii="Times New Roman" w:hAnsi="Times New Roman" w:cs="Times New Roman"/>
          <w:b/>
          <w:color w:val="0D0D0D"/>
          <w:sz w:val="24"/>
          <w:szCs w:val="24"/>
        </w:rPr>
      </w:pPr>
      <w:r>
        <w:rPr>
          <w:rFonts w:ascii="Times New Roman" w:hAnsi="Times New Roman" w:cs="Times New Roman"/>
          <w:color w:val="0D0D0D"/>
          <w:sz w:val="24"/>
          <w:szCs w:val="24"/>
        </w:rPr>
        <w:lastRenderedPageBreak/>
        <w:t>The Detailed Rules shall come into force on July 1, 2019.</w:t>
      </w:r>
    </w:p>
    <w:p w:rsidR="002F2BD9" w:rsidRDefault="002F2BD9" w:rsidP="002F2BD9">
      <w:pPr>
        <w:adjustRightInd w:val="0"/>
        <w:snapToGrid w:val="0"/>
        <w:spacing w:before="200" w:line="288" w:lineRule="auto"/>
        <w:rPr>
          <w:rFonts w:ascii="Times New Roman" w:hAnsi="Times New Roman" w:cs="Times New Roman"/>
          <w:b/>
          <w:sz w:val="24"/>
          <w:szCs w:val="24"/>
        </w:rPr>
      </w:pPr>
    </w:p>
    <w:p w:rsidR="002F2BD9" w:rsidRDefault="002F2BD9" w:rsidP="002F2BD9">
      <w:pPr>
        <w:adjustRightInd w:val="0"/>
        <w:snapToGrid w:val="0"/>
        <w:spacing w:before="200" w:line="288" w:lineRule="auto"/>
        <w:rPr>
          <w:rFonts w:ascii="Times New Roman" w:hAnsi="Times New Roman" w:cs="Times New Roman"/>
          <w:sz w:val="24"/>
          <w:szCs w:val="24"/>
        </w:rPr>
      </w:pPr>
      <w:r>
        <w:rPr>
          <w:rFonts w:ascii="Times New Roman" w:hAnsi="Times New Roman" w:cs="Times New Roman"/>
          <w:sz w:val="24"/>
          <w:szCs w:val="24"/>
        </w:rPr>
        <w:t xml:space="preserve">Annex 1: Corn Delivery Quality Standard of Dalian Commodity Exchange (FC/DCE D001-2015) </w:t>
      </w:r>
    </w:p>
    <w:p w:rsidR="002F2BD9" w:rsidRDefault="002F2BD9" w:rsidP="002F2BD9">
      <w:pPr>
        <w:adjustRightInd w:val="0"/>
        <w:snapToGrid w:val="0"/>
        <w:spacing w:before="200" w:line="288" w:lineRule="auto"/>
        <w:rPr>
          <w:rFonts w:ascii="Times New Roman" w:hAnsi="Times New Roman" w:cs="Times New Roman"/>
          <w:sz w:val="24"/>
          <w:szCs w:val="24"/>
        </w:rPr>
      </w:pPr>
      <w:r>
        <w:rPr>
          <w:rFonts w:ascii="Times New Roman" w:hAnsi="Times New Roman" w:cs="Times New Roman"/>
          <w:sz w:val="24"/>
          <w:szCs w:val="24"/>
        </w:rPr>
        <w:t>Annex 2: List of Delivery Warehouses Designated for Corn of Dalian Commodity Exchange</w:t>
      </w:r>
    </w:p>
    <w:p w:rsidR="002F2BD9" w:rsidRDefault="002F2BD9" w:rsidP="002F2BD9">
      <w:pPr>
        <w:shd w:val="clear" w:color="auto" w:fill="FFFFFF"/>
        <w:adjustRightInd w:val="0"/>
        <w:snapToGrid w:val="0"/>
        <w:spacing w:before="200" w:line="288" w:lineRule="auto"/>
        <w:rPr>
          <w:rFonts w:ascii="Times New Roman" w:hAnsi="Times New Roman" w:cs="Times New Roman"/>
          <w:b/>
          <w:i/>
          <w:sz w:val="24"/>
          <w:szCs w:val="24"/>
        </w:rPr>
      </w:pPr>
    </w:p>
    <w:p w:rsidR="002F2BD9" w:rsidRDefault="002F2BD9" w:rsidP="002F2BD9">
      <w:pPr>
        <w:shd w:val="clear" w:color="auto" w:fill="FFFFFF"/>
        <w:adjustRightInd w:val="0"/>
        <w:snapToGrid w:val="0"/>
        <w:spacing w:before="200" w:line="288" w:lineRule="auto"/>
        <w:rPr>
          <w:rFonts w:ascii="Times New Roman" w:hAnsi="Times New Roman" w:cs="Times New Roman"/>
          <w:i/>
          <w:sz w:val="24"/>
          <w:szCs w:val="24"/>
        </w:rPr>
      </w:pPr>
      <w:r>
        <w:rPr>
          <w:rFonts w:ascii="Times New Roman" w:hAnsi="Times New Roman" w:cs="Times New Roman"/>
          <w:b/>
          <w:i/>
          <w:sz w:val="24"/>
          <w:szCs w:val="24"/>
        </w:rPr>
        <w:t>Disclaimer</w:t>
      </w:r>
      <w:r>
        <w:rPr>
          <w:rFonts w:ascii="Times New Roman" w:hAnsi="Times New Roman" w:cs="Times New Roman"/>
          <w:i/>
          <w:sz w:val="24"/>
          <w:szCs w:val="24"/>
        </w:rPr>
        <w:t>: This English translation may be used for reference only. In cases there is any discrepancy between the English version and the original Chinese version, the original Chinese version shall prevail. Dalian Commodity Exchange may change or update this English translation without any prior notice and shall accept no responsibility or liability for damage or loss caused by any error, inaccuracy, misunderstanding, or change with regard to this English translation.</w:t>
      </w:r>
    </w:p>
    <w:p w:rsidR="00185B22" w:rsidRDefault="00185B22">
      <w:pPr>
        <w:jc w:val="left"/>
        <w:rPr>
          <w:rFonts w:ascii="Times New Roman" w:hAnsi="Times New Roman" w:cs="Times New Roman"/>
          <w:b/>
          <w:sz w:val="24"/>
          <w:szCs w:val="24"/>
        </w:rPr>
      </w:pPr>
      <w:r>
        <w:rPr>
          <w:rFonts w:ascii="Times New Roman" w:hAnsi="Times New Roman" w:cs="Times New Roman"/>
          <w:b/>
          <w:sz w:val="24"/>
          <w:szCs w:val="24"/>
        </w:rPr>
        <w:br w:type="page"/>
      </w:r>
    </w:p>
    <w:p w:rsidR="00185B22" w:rsidRDefault="00185B22" w:rsidP="00185B22">
      <w:pPr>
        <w:shd w:val="clear" w:color="auto" w:fill="FFFFFF"/>
        <w:snapToGrid w:val="0"/>
        <w:spacing w:after="200" w:line="288" w:lineRule="auto"/>
        <w:ind w:left="482" w:hangingChars="200" w:hanging="482"/>
        <w:rPr>
          <w:rFonts w:ascii="Times New Roman" w:hAnsi="Times New Roman" w:cs="Times New Roman"/>
          <w:b/>
          <w:bCs/>
          <w:sz w:val="24"/>
          <w:szCs w:val="24"/>
        </w:rPr>
      </w:pPr>
      <w:r>
        <w:rPr>
          <w:rFonts w:ascii="Times New Roman" w:hAnsi="Times New Roman" w:cs="Times New Roman"/>
          <w:b/>
          <w:bCs/>
          <w:sz w:val="24"/>
          <w:szCs w:val="24"/>
        </w:rPr>
        <w:lastRenderedPageBreak/>
        <w:t>Annex 1</w:t>
      </w:r>
    </w:p>
    <w:p w:rsidR="00185B22" w:rsidRDefault="00185B22" w:rsidP="00185B22">
      <w:pPr>
        <w:shd w:val="clear" w:color="auto" w:fill="FFFFFF"/>
        <w:snapToGrid w:val="0"/>
        <w:spacing w:after="200" w:line="288" w:lineRule="auto"/>
        <w:ind w:left="482" w:hangingChars="200" w:hanging="482"/>
        <w:jc w:val="center"/>
        <w:rPr>
          <w:rFonts w:ascii="Times New Roman" w:hAnsi="Times New Roman" w:cs="Arial"/>
          <w:b/>
          <w:bCs/>
          <w:color w:val="333333"/>
          <w:sz w:val="24"/>
          <w:szCs w:val="24"/>
        </w:rPr>
      </w:pPr>
      <w:r>
        <w:rPr>
          <w:rFonts w:ascii="Times New Roman" w:hAnsi="Times New Roman" w:cs="Arial"/>
          <w:b/>
          <w:bCs/>
          <w:color w:val="333333"/>
          <w:sz w:val="24"/>
          <w:szCs w:val="24"/>
        </w:rPr>
        <w:t xml:space="preserve">Corn Delivery Quality Standard </w:t>
      </w:r>
      <w:r>
        <w:rPr>
          <w:rFonts w:ascii="Times New Roman" w:hAnsi="Times New Roman" w:cs="Arial" w:hint="eastAsia"/>
          <w:b/>
          <w:bCs/>
          <w:color w:val="333333"/>
          <w:sz w:val="24"/>
          <w:szCs w:val="24"/>
        </w:rPr>
        <w:t>o</w:t>
      </w:r>
      <w:r>
        <w:rPr>
          <w:rFonts w:ascii="Times New Roman" w:hAnsi="Times New Roman" w:cs="Arial"/>
          <w:b/>
          <w:bCs/>
          <w:color w:val="333333"/>
          <w:sz w:val="24"/>
          <w:szCs w:val="24"/>
        </w:rPr>
        <w:t xml:space="preserve">f Dalian Commodity Exchange ("DCE") </w:t>
      </w:r>
      <w:r>
        <w:rPr>
          <w:rFonts w:ascii="Times New Roman" w:hAnsi="Times New Roman" w:cs="Arial"/>
          <w:b/>
          <w:bCs/>
          <w:i/>
          <w:iCs/>
          <w:color w:val="333333"/>
          <w:sz w:val="24"/>
          <w:szCs w:val="24"/>
        </w:rPr>
        <w:t>(FC/DCE D001-2015)</w:t>
      </w:r>
    </w:p>
    <w:p w:rsidR="00185B22" w:rsidRDefault="00185B22" w:rsidP="00185B22">
      <w:pPr>
        <w:pStyle w:val="a9"/>
        <w:widowControl/>
        <w:numPr>
          <w:ilvl w:val="0"/>
          <w:numId w:val="7"/>
        </w:numPr>
        <w:shd w:val="clear" w:color="auto" w:fill="FFFFFF"/>
        <w:snapToGrid w:val="0"/>
        <w:spacing w:after="200" w:line="288" w:lineRule="auto"/>
        <w:ind w:firstLineChars="0"/>
        <w:rPr>
          <w:rFonts w:ascii="Times New Roman" w:hAnsi="Times New Roman" w:cs="Arial"/>
          <w:b/>
          <w:bCs/>
          <w:color w:val="333333"/>
          <w:kern w:val="0"/>
          <w:sz w:val="24"/>
          <w:szCs w:val="24"/>
        </w:rPr>
      </w:pPr>
      <w:r>
        <w:rPr>
          <w:rFonts w:ascii="Times New Roman" w:hAnsi="Times New Roman" w:cs="Arial"/>
          <w:b/>
          <w:bCs/>
          <w:color w:val="333333"/>
          <w:kern w:val="0"/>
          <w:sz w:val="24"/>
          <w:szCs w:val="24"/>
        </w:rPr>
        <w:t>Scope</w:t>
      </w:r>
    </w:p>
    <w:p w:rsidR="00185B22" w:rsidRDefault="00185B22" w:rsidP="00185B22">
      <w:pPr>
        <w:shd w:val="clear" w:color="auto" w:fill="FFFFFF"/>
        <w:snapToGrid w:val="0"/>
        <w:spacing w:after="200" w:line="288" w:lineRule="auto"/>
        <w:ind w:left="420"/>
        <w:rPr>
          <w:rFonts w:ascii="Times New Roman" w:hAnsi="Times New Roman" w:cs="Arial"/>
          <w:color w:val="333333"/>
          <w:sz w:val="24"/>
          <w:szCs w:val="24"/>
        </w:rPr>
      </w:pPr>
      <w:r>
        <w:rPr>
          <w:rFonts w:ascii="Times New Roman" w:hAnsi="Times New Roman" w:cs="Arial"/>
          <w:color w:val="333333"/>
          <w:sz w:val="24"/>
          <w:szCs w:val="24"/>
        </w:rPr>
        <w:t xml:space="preserve">This standard herein </w:t>
      </w:r>
      <w:r>
        <w:rPr>
          <w:rFonts w:ascii="Times New Roman" w:hAnsi="Times New Roman" w:cs="Arial" w:hint="eastAsia"/>
          <w:color w:val="333333"/>
          <w:sz w:val="24"/>
          <w:szCs w:val="24"/>
        </w:rPr>
        <w:t>(</w:t>
      </w:r>
      <w:r>
        <w:rPr>
          <w:rFonts w:ascii="Times New Roman" w:hAnsi="Times New Roman" w:cs="Arial"/>
          <w:color w:val="333333"/>
          <w:sz w:val="24"/>
          <w:szCs w:val="24"/>
        </w:rPr>
        <w:t xml:space="preserve">the </w:t>
      </w:r>
      <w:r>
        <w:rPr>
          <w:rFonts w:ascii="Times New Roman" w:hAnsi="Times New Roman" w:cs="Arial"/>
          <w:b/>
          <w:bCs/>
          <w:color w:val="333333"/>
          <w:sz w:val="24"/>
          <w:szCs w:val="24"/>
        </w:rPr>
        <w:t>"Standard"</w:t>
      </w:r>
      <w:r>
        <w:rPr>
          <w:rFonts w:ascii="Times New Roman" w:hAnsi="Times New Roman" w:cs="Arial"/>
          <w:color w:val="333333"/>
          <w:sz w:val="24"/>
          <w:szCs w:val="24"/>
        </w:rPr>
        <w:t>) stipulates the quality standards, classification standards and inspection methods for yellow corn delivered at DCE.</w:t>
      </w:r>
    </w:p>
    <w:p w:rsidR="00185B22" w:rsidRDefault="00185B22" w:rsidP="00185B22">
      <w:pPr>
        <w:shd w:val="clear" w:color="auto" w:fill="FFFFFF"/>
        <w:snapToGrid w:val="0"/>
        <w:spacing w:after="200" w:line="288" w:lineRule="auto"/>
        <w:ind w:left="420"/>
        <w:rPr>
          <w:rFonts w:ascii="Times New Roman" w:hAnsi="Times New Roman" w:cs="Arial"/>
          <w:color w:val="333333"/>
          <w:sz w:val="24"/>
          <w:szCs w:val="24"/>
        </w:rPr>
      </w:pPr>
      <w:r>
        <w:rPr>
          <w:rFonts w:ascii="Times New Roman" w:hAnsi="Times New Roman" w:cs="Arial"/>
          <w:color w:val="333333"/>
          <w:sz w:val="24"/>
          <w:szCs w:val="24"/>
        </w:rPr>
        <w:t xml:space="preserve">The Standard applies to standard products and substitute </w:t>
      </w:r>
      <w:r>
        <w:rPr>
          <w:rFonts w:ascii="Times New Roman" w:hAnsi="Times New Roman" w:cs="Arial" w:hint="eastAsia"/>
          <w:color w:val="333333"/>
          <w:sz w:val="24"/>
          <w:szCs w:val="24"/>
        </w:rPr>
        <w:t>product</w:t>
      </w:r>
      <w:r>
        <w:rPr>
          <w:rFonts w:ascii="Times New Roman" w:hAnsi="Times New Roman" w:cs="Arial"/>
          <w:color w:val="333333"/>
          <w:sz w:val="24"/>
          <w:szCs w:val="24"/>
        </w:rPr>
        <w:t>s delivered under the corn futures contract of DCE.</w:t>
      </w:r>
    </w:p>
    <w:p w:rsidR="00185B22" w:rsidRDefault="00185B22" w:rsidP="00185B22">
      <w:pPr>
        <w:pStyle w:val="a9"/>
        <w:widowControl/>
        <w:numPr>
          <w:ilvl w:val="0"/>
          <w:numId w:val="7"/>
        </w:numPr>
        <w:shd w:val="clear" w:color="auto" w:fill="FFFFFF"/>
        <w:snapToGrid w:val="0"/>
        <w:spacing w:after="200" w:line="288" w:lineRule="auto"/>
        <w:ind w:firstLineChars="0"/>
        <w:rPr>
          <w:rFonts w:ascii="Times New Roman" w:hAnsi="Times New Roman" w:cs="Arial"/>
          <w:b/>
          <w:bCs/>
          <w:color w:val="333333"/>
          <w:kern w:val="0"/>
          <w:sz w:val="24"/>
          <w:szCs w:val="24"/>
        </w:rPr>
      </w:pPr>
      <w:r>
        <w:rPr>
          <w:rFonts w:ascii="Times New Roman" w:hAnsi="Times New Roman" w:cs="Arial"/>
          <w:b/>
          <w:bCs/>
          <w:color w:val="333333"/>
          <w:kern w:val="0"/>
          <w:sz w:val="24"/>
          <w:szCs w:val="24"/>
        </w:rPr>
        <w:t>Cited rules and standards</w:t>
      </w:r>
    </w:p>
    <w:p w:rsidR="00185B22" w:rsidRDefault="00185B22" w:rsidP="00185B22">
      <w:pPr>
        <w:shd w:val="clear" w:color="auto" w:fill="FFFFFF"/>
        <w:snapToGrid w:val="0"/>
        <w:spacing w:after="200" w:line="288" w:lineRule="auto"/>
        <w:ind w:left="420"/>
        <w:rPr>
          <w:rFonts w:ascii="Times New Roman" w:hAnsi="Times New Roman" w:cs="Arial"/>
          <w:color w:val="333333"/>
          <w:sz w:val="24"/>
          <w:szCs w:val="24"/>
        </w:rPr>
      </w:pPr>
      <w:r>
        <w:rPr>
          <w:rFonts w:ascii="Times New Roman" w:hAnsi="Times New Roman" w:cs="Arial"/>
          <w:color w:val="333333"/>
          <w:sz w:val="24"/>
          <w:szCs w:val="24"/>
        </w:rPr>
        <w:t xml:space="preserve">The provisions of the following documents are incorporated as provisions of the Standard by reference. For those cited documents noted with dates, all of their following amendments (excluding corrections) and revised versions shall not be applied to the Standard; for those without noted dates, their latest versions shall be applied to the Standard. </w:t>
      </w:r>
    </w:p>
    <w:p w:rsidR="00185B22" w:rsidRDefault="00185B22" w:rsidP="00185B22">
      <w:pPr>
        <w:shd w:val="clear" w:color="auto" w:fill="FFFFFF"/>
        <w:snapToGrid w:val="0"/>
        <w:spacing w:after="200" w:line="288" w:lineRule="auto"/>
        <w:ind w:left="420"/>
        <w:rPr>
          <w:rFonts w:ascii="Times New Roman" w:hAnsi="Times New Roman" w:cs="Arial"/>
          <w:i/>
          <w:iCs/>
          <w:color w:val="333333"/>
          <w:sz w:val="24"/>
          <w:szCs w:val="24"/>
        </w:rPr>
      </w:pPr>
      <w:r>
        <w:rPr>
          <w:rFonts w:ascii="Times New Roman" w:hAnsi="Times New Roman" w:cs="Arial"/>
          <w:i/>
          <w:iCs/>
          <w:color w:val="333333"/>
          <w:sz w:val="24"/>
          <w:szCs w:val="24"/>
        </w:rPr>
        <w:t xml:space="preserve">GB </w:t>
      </w:r>
      <w:r>
        <w:rPr>
          <w:rFonts w:ascii="Times New Roman" w:hAnsi="Times New Roman" w:cs="Arial"/>
          <w:color w:val="333333"/>
          <w:sz w:val="24"/>
          <w:szCs w:val="24"/>
        </w:rPr>
        <w:t>1353</w:t>
      </w:r>
      <w:r>
        <w:rPr>
          <w:rFonts w:ascii="Times New Roman" w:hAnsi="Times New Roman" w:cs="Arial"/>
          <w:i/>
          <w:iCs/>
          <w:color w:val="333333"/>
          <w:sz w:val="24"/>
          <w:szCs w:val="24"/>
        </w:rPr>
        <w:t>-2009 Corn</w:t>
      </w:r>
    </w:p>
    <w:p w:rsidR="00185B22" w:rsidRDefault="00185B22" w:rsidP="00185B22">
      <w:pPr>
        <w:shd w:val="clear" w:color="auto" w:fill="FFFFFF"/>
        <w:snapToGrid w:val="0"/>
        <w:spacing w:after="200" w:line="288" w:lineRule="auto"/>
        <w:ind w:left="420"/>
        <w:rPr>
          <w:rFonts w:ascii="Times New Roman" w:hAnsi="Times New Roman" w:cs="Arial"/>
          <w:i/>
          <w:iCs/>
          <w:color w:val="333333"/>
          <w:sz w:val="24"/>
          <w:szCs w:val="24"/>
        </w:rPr>
      </w:pPr>
      <w:r>
        <w:rPr>
          <w:rFonts w:ascii="Times New Roman" w:hAnsi="Times New Roman" w:cs="Arial"/>
          <w:i/>
          <w:iCs/>
          <w:color w:val="333333"/>
          <w:sz w:val="24"/>
          <w:szCs w:val="24"/>
        </w:rPr>
        <w:t>GB/T 20570-2006 Rules for Evaluation of Corn Storage Quality</w:t>
      </w:r>
    </w:p>
    <w:p w:rsidR="00185B22" w:rsidRDefault="00185B22" w:rsidP="00185B22">
      <w:pPr>
        <w:pStyle w:val="a9"/>
        <w:widowControl/>
        <w:numPr>
          <w:ilvl w:val="0"/>
          <w:numId w:val="7"/>
        </w:numPr>
        <w:shd w:val="clear" w:color="auto" w:fill="FFFFFF"/>
        <w:snapToGrid w:val="0"/>
        <w:spacing w:after="200" w:line="288" w:lineRule="auto"/>
        <w:ind w:firstLineChars="0"/>
        <w:rPr>
          <w:rFonts w:ascii="Times New Roman" w:hAnsi="Times New Roman" w:cs="Arial"/>
          <w:b/>
          <w:bCs/>
          <w:color w:val="333333"/>
          <w:kern w:val="0"/>
          <w:sz w:val="24"/>
          <w:szCs w:val="24"/>
        </w:rPr>
      </w:pPr>
      <w:r>
        <w:rPr>
          <w:rFonts w:ascii="Times New Roman" w:hAnsi="Times New Roman" w:cs="Arial"/>
          <w:b/>
          <w:bCs/>
          <w:color w:val="333333"/>
          <w:kern w:val="0"/>
          <w:sz w:val="24"/>
          <w:szCs w:val="24"/>
        </w:rPr>
        <w:t>Definitions</w:t>
      </w:r>
    </w:p>
    <w:p w:rsidR="00185B22" w:rsidRDefault="00185B22" w:rsidP="00185B22">
      <w:pPr>
        <w:shd w:val="clear" w:color="auto" w:fill="FFFFFF"/>
        <w:snapToGrid w:val="0"/>
        <w:spacing w:after="200" w:line="288" w:lineRule="auto"/>
        <w:ind w:left="420"/>
        <w:rPr>
          <w:rFonts w:ascii="Times New Roman" w:hAnsi="Times New Roman" w:cs="Arial"/>
          <w:color w:val="333333"/>
          <w:sz w:val="24"/>
          <w:szCs w:val="24"/>
        </w:rPr>
      </w:pPr>
      <w:r>
        <w:rPr>
          <w:rFonts w:ascii="Times New Roman" w:hAnsi="Times New Roman" w:cs="Arial"/>
          <w:color w:val="333333"/>
          <w:sz w:val="24"/>
          <w:szCs w:val="24"/>
        </w:rPr>
        <w:t xml:space="preserve">Definitions under this Standard shall be interpreted in accordance with </w:t>
      </w:r>
      <w:r>
        <w:rPr>
          <w:rFonts w:ascii="Times New Roman" w:hAnsi="Times New Roman" w:cs="Arial"/>
          <w:i/>
          <w:iCs/>
          <w:color w:val="333333"/>
          <w:sz w:val="24"/>
          <w:szCs w:val="24"/>
        </w:rPr>
        <w:t>GB 1353-2009</w:t>
      </w:r>
      <w:r>
        <w:rPr>
          <w:rFonts w:ascii="Times New Roman" w:hAnsi="Times New Roman" w:cs="Arial"/>
          <w:color w:val="333333"/>
          <w:sz w:val="24"/>
          <w:szCs w:val="24"/>
        </w:rPr>
        <w:t xml:space="preserve"> and </w:t>
      </w:r>
      <w:r>
        <w:rPr>
          <w:rFonts w:ascii="Times New Roman" w:hAnsi="Times New Roman" w:cs="Arial"/>
          <w:i/>
          <w:iCs/>
          <w:color w:val="333333"/>
          <w:sz w:val="24"/>
          <w:szCs w:val="24"/>
        </w:rPr>
        <w:t>GB/T 20570-2006</w:t>
      </w:r>
      <w:r>
        <w:rPr>
          <w:rFonts w:ascii="Times New Roman" w:hAnsi="Times New Roman" w:cs="Arial"/>
          <w:color w:val="333333"/>
          <w:sz w:val="24"/>
          <w:szCs w:val="24"/>
        </w:rPr>
        <w:t>.</w:t>
      </w:r>
    </w:p>
    <w:p w:rsidR="00185B22" w:rsidRDefault="00185B22" w:rsidP="00185B22">
      <w:pPr>
        <w:pStyle w:val="a9"/>
        <w:widowControl/>
        <w:numPr>
          <w:ilvl w:val="0"/>
          <w:numId w:val="7"/>
        </w:numPr>
        <w:shd w:val="clear" w:color="auto" w:fill="FFFFFF"/>
        <w:snapToGrid w:val="0"/>
        <w:spacing w:after="200" w:line="288" w:lineRule="auto"/>
        <w:ind w:firstLineChars="0"/>
        <w:rPr>
          <w:rFonts w:ascii="Times New Roman" w:hAnsi="Times New Roman" w:cs="Arial"/>
          <w:b/>
          <w:bCs/>
          <w:color w:val="333333"/>
          <w:kern w:val="0"/>
          <w:sz w:val="24"/>
          <w:szCs w:val="24"/>
        </w:rPr>
      </w:pPr>
      <w:r>
        <w:rPr>
          <w:rFonts w:ascii="Times New Roman" w:hAnsi="Times New Roman" w:cs="Arial"/>
          <w:b/>
          <w:bCs/>
          <w:color w:val="333333"/>
          <w:kern w:val="0"/>
          <w:sz w:val="24"/>
          <w:szCs w:val="24"/>
        </w:rPr>
        <w:t>Quality standards</w:t>
      </w:r>
    </w:p>
    <w:p w:rsidR="00185B22" w:rsidRDefault="00185B22" w:rsidP="00185B22">
      <w:pPr>
        <w:pStyle w:val="a9"/>
        <w:widowControl/>
        <w:numPr>
          <w:ilvl w:val="1"/>
          <w:numId w:val="7"/>
        </w:numPr>
        <w:shd w:val="clear" w:color="auto" w:fill="FFFFFF"/>
        <w:snapToGrid w:val="0"/>
        <w:spacing w:after="200" w:line="288" w:lineRule="auto"/>
        <w:ind w:firstLineChars="0" w:hanging="992"/>
        <w:rPr>
          <w:rFonts w:ascii="Times New Roman" w:hAnsi="Times New Roman" w:cs="Arial"/>
          <w:color w:val="333333"/>
          <w:kern w:val="0"/>
          <w:sz w:val="24"/>
          <w:szCs w:val="24"/>
        </w:rPr>
      </w:pPr>
      <w:r>
        <w:rPr>
          <w:rFonts w:ascii="Times New Roman" w:hAnsi="Times New Roman" w:cs="Arial"/>
          <w:color w:val="333333"/>
          <w:kern w:val="0"/>
          <w:sz w:val="24"/>
          <w:szCs w:val="24"/>
        </w:rPr>
        <w:t>Quality requirements for standard products delivered under corn futures contract</w:t>
      </w:r>
    </w:p>
    <w:tbl>
      <w:tblPr>
        <w:tblW w:w="8297"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1104"/>
        <w:gridCol w:w="1559"/>
        <w:gridCol w:w="1559"/>
        <w:gridCol w:w="1134"/>
        <w:gridCol w:w="1418"/>
      </w:tblGrid>
      <w:tr w:rsidR="00185B22" w:rsidTr="00185B22">
        <w:tc>
          <w:tcPr>
            <w:tcW w:w="1523" w:type="dxa"/>
            <w:vMerge w:val="restart"/>
            <w:tcBorders>
              <w:top w:val="single" w:sz="4" w:space="0" w:color="auto"/>
              <w:left w:val="single" w:sz="4" w:space="0" w:color="auto"/>
              <w:bottom w:val="single" w:sz="4" w:space="0" w:color="auto"/>
              <w:right w:val="single" w:sz="4" w:space="0" w:color="auto"/>
            </w:tcBorders>
            <w:hideMark/>
          </w:tcPr>
          <w:p w:rsidR="00185B22" w:rsidRDefault="00185B22">
            <w:pPr>
              <w:pStyle w:val="a7"/>
              <w:kinsoku w:val="0"/>
              <w:overflowPunct w:val="0"/>
              <w:spacing w:before="9" w:after="1"/>
              <w:rPr>
                <w:b/>
                <w:bCs/>
              </w:rPr>
            </w:pPr>
            <w:r>
              <w:rPr>
                <w:rFonts w:hint="eastAsia"/>
                <w:b/>
                <w:bCs/>
              </w:rPr>
              <w:t>V</w:t>
            </w:r>
            <w:r>
              <w:rPr>
                <w:b/>
                <w:bCs/>
              </w:rPr>
              <w:t>olume(g/L)</w:t>
            </w:r>
          </w:p>
        </w:tc>
        <w:tc>
          <w:tcPr>
            <w:tcW w:w="1104" w:type="dxa"/>
            <w:vMerge w:val="restart"/>
            <w:tcBorders>
              <w:top w:val="single" w:sz="4" w:space="0" w:color="auto"/>
              <w:left w:val="nil"/>
              <w:bottom w:val="single" w:sz="4" w:space="0" w:color="auto"/>
              <w:right w:val="single" w:sz="4" w:space="0" w:color="auto"/>
            </w:tcBorders>
            <w:hideMark/>
          </w:tcPr>
          <w:p w:rsidR="00185B22" w:rsidRDefault="00185B22">
            <w:pPr>
              <w:pStyle w:val="a7"/>
              <w:kinsoku w:val="0"/>
              <w:overflowPunct w:val="0"/>
              <w:spacing w:before="9" w:after="1"/>
              <w:rPr>
                <w:b/>
                <w:bCs/>
              </w:rPr>
            </w:pPr>
            <w:r>
              <w:rPr>
                <w:rFonts w:hint="eastAsia"/>
                <w:b/>
                <w:bCs/>
              </w:rPr>
              <w:t>I</w:t>
            </w:r>
            <w:r>
              <w:rPr>
                <w:b/>
                <w:bCs/>
              </w:rPr>
              <w:t>mpurity(%)</w:t>
            </w:r>
          </w:p>
        </w:tc>
        <w:tc>
          <w:tcPr>
            <w:tcW w:w="1559" w:type="dxa"/>
            <w:vMerge w:val="restart"/>
            <w:tcBorders>
              <w:top w:val="single" w:sz="4" w:space="0" w:color="auto"/>
              <w:left w:val="nil"/>
              <w:bottom w:val="single" w:sz="4" w:space="0" w:color="auto"/>
              <w:right w:val="single" w:sz="4" w:space="0" w:color="auto"/>
            </w:tcBorders>
            <w:hideMark/>
          </w:tcPr>
          <w:p w:rsidR="00185B22" w:rsidRDefault="00185B22">
            <w:pPr>
              <w:pStyle w:val="a7"/>
              <w:kinsoku w:val="0"/>
              <w:overflowPunct w:val="0"/>
              <w:spacing w:before="9" w:after="1"/>
              <w:rPr>
                <w:b/>
                <w:bCs/>
              </w:rPr>
            </w:pPr>
            <w:r>
              <w:rPr>
                <w:rFonts w:hint="eastAsia"/>
                <w:b/>
                <w:bCs/>
              </w:rPr>
              <w:t>M</w:t>
            </w:r>
            <w:r>
              <w:rPr>
                <w:b/>
                <w:bCs/>
              </w:rPr>
              <w:t>oisture(%)</w:t>
            </w:r>
          </w:p>
        </w:tc>
        <w:tc>
          <w:tcPr>
            <w:tcW w:w="2693" w:type="dxa"/>
            <w:gridSpan w:val="2"/>
            <w:tcBorders>
              <w:top w:val="single" w:sz="4" w:space="0" w:color="auto"/>
              <w:left w:val="nil"/>
              <w:bottom w:val="single" w:sz="4" w:space="0" w:color="auto"/>
              <w:right w:val="single" w:sz="4" w:space="0" w:color="auto"/>
            </w:tcBorders>
            <w:hideMark/>
          </w:tcPr>
          <w:p w:rsidR="00185B22" w:rsidRDefault="00185B22">
            <w:pPr>
              <w:pStyle w:val="a7"/>
              <w:kinsoku w:val="0"/>
              <w:overflowPunct w:val="0"/>
              <w:spacing w:before="9" w:after="1"/>
              <w:rPr>
                <w:b/>
                <w:bCs/>
              </w:rPr>
            </w:pPr>
            <w:r>
              <w:rPr>
                <w:b/>
                <w:bCs/>
              </w:rPr>
              <w:t>Unsound Kernels(%)</w:t>
            </w:r>
          </w:p>
        </w:tc>
        <w:tc>
          <w:tcPr>
            <w:tcW w:w="1418" w:type="dxa"/>
            <w:tcBorders>
              <w:top w:val="single" w:sz="4" w:space="0" w:color="auto"/>
              <w:left w:val="nil"/>
              <w:bottom w:val="single" w:sz="4" w:space="0" w:color="auto"/>
              <w:right w:val="single" w:sz="4" w:space="0" w:color="auto"/>
            </w:tcBorders>
            <w:hideMark/>
          </w:tcPr>
          <w:p w:rsidR="00185B22" w:rsidRDefault="00185B22">
            <w:pPr>
              <w:pStyle w:val="a7"/>
              <w:kinsoku w:val="0"/>
              <w:overflowPunct w:val="0"/>
              <w:spacing w:before="9" w:after="1"/>
              <w:rPr>
                <w:b/>
                <w:bCs/>
              </w:rPr>
            </w:pPr>
            <w:r>
              <w:rPr>
                <w:rFonts w:hint="eastAsia"/>
                <w:b/>
                <w:bCs/>
              </w:rPr>
              <w:t>O</w:t>
            </w:r>
            <w:r>
              <w:rPr>
                <w:b/>
                <w:bCs/>
              </w:rPr>
              <w:t>dor and Color</w:t>
            </w:r>
          </w:p>
        </w:tc>
      </w:tr>
      <w:tr w:rsidR="00185B22" w:rsidTr="00185B22">
        <w:tc>
          <w:tcPr>
            <w:tcW w:w="1523" w:type="dxa"/>
            <w:vMerge/>
            <w:tcBorders>
              <w:top w:val="single" w:sz="4" w:space="0" w:color="auto"/>
              <w:left w:val="single" w:sz="4" w:space="0" w:color="auto"/>
              <w:bottom w:val="single" w:sz="4" w:space="0" w:color="auto"/>
              <w:right w:val="single" w:sz="4" w:space="0" w:color="auto"/>
            </w:tcBorders>
            <w:vAlign w:val="center"/>
            <w:hideMark/>
          </w:tcPr>
          <w:p w:rsidR="00185B22" w:rsidRDefault="00185B22">
            <w:pPr>
              <w:jc w:val="left"/>
              <w:rPr>
                <w:rFonts w:ascii="Times New Roman" w:eastAsia="等线" w:hAnsi="Times New Roman" w:cs="Times New Roman"/>
                <w:b/>
                <w:bCs/>
                <w:sz w:val="24"/>
                <w:szCs w:val="24"/>
              </w:rPr>
            </w:pPr>
          </w:p>
        </w:tc>
        <w:tc>
          <w:tcPr>
            <w:tcW w:w="1104" w:type="dxa"/>
            <w:vMerge/>
            <w:tcBorders>
              <w:top w:val="single" w:sz="4" w:space="0" w:color="auto"/>
              <w:left w:val="nil"/>
              <w:bottom w:val="single" w:sz="4" w:space="0" w:color="auto"/>
              <w:right w:val="single" w:sz="4" w:space="0" w:color="auto"/>
            </w:tcBorders>
            <w:vAlign w:val="center"/>
            <w:hideMark/>
          </w:tcPr>
          <w:p w:rsidR="00185B22" w:rsidRDefault="00185B22">
            <w:pPr>
              <w:jc w:val="left"/>
              <w:rPr>
                <w:rFonts w:ascii="Times New Roman" w:eastAsia="等线" w:hAnsi="Times New Roman" w:cs="Times New Roman"/>
                <w:b/>
                <w:bCs/>
                <w:sz w:val="24"/>
                <w:szCs w:val="24"/>
              </w:rPr>
            </w:pPr>
          </w:p>
        </w:tc>
        <w:tc>
          <w:tcPr>
            <w:tcW w:w="1559" w:type="dxa"/>
            <w:vMerge/>
            <w:tcBorders>
              <w:top w:val="single" w:sz="4" w:space="0" w:color="auto"/>
              <w:left w:val="nil"/>
              <w:bottom w:val="single" w:sz="4" w:space="0" w:color="auto"/>
              <w:right w:val="single" w:sz="4" w:space="0" w:color="auto"/>
            </w:tcBorders>
            <w:vAlign w:val="center"/>
            <w:hideMark/>
          </w:tcPr>
          <w:p w:rsidR="00185B22" w:rsidRDefault="00185B22">
            <w:pPr>
              <w:jc w:val="left"/>
              <w:rPr>
                <w:rFonts w:ascii="Times New Roman" w:eastAsia="等线" w:hAnsi="Times New Roman" w:cs="Times New Roman"/>
                <w:b/>
                <w:bCs/>
                <w:sz w:val="24"/>
                <w:szCs w:val="24"/>
              </w:rPr>
            </w:pPr>
          </w:p>
        </w:tc>
        <w:tc>
          <w:tcPr>
            <w:tcW w:w="1559" w:type="dxa"/>
            <w:tcBorders>
              <w:top w:val="single" w:sz="4" w:space="0" w:color="auto"/>
              <w:left w:val="nil"/>
              <w:bottom w:val="single" w:sz="4" w:space="0" w:color="auto"/>
              <w:right w:val="single" w:sz="4" w:space="0" w:color="auto"/>
            </w:tcBorders>
            <w:hideMark/>
          </w:tcPr>
          <w:p w:rsidR="00185B22" w:rsidRDefault="00185B22">
            <w:pPr>
              <w:pStyle w:val="a7"/>
              <w:kinsoku w:val="0"/>
              <w:overflowPunct w:val="0"/>
              <w:spacing w:before="9" w:after="1"/>
              <w:ind w:firstLine="480"/>
            </w:pPr>
            <w:r>
              <w:rPr>
                <w:rFonts w:hint="eastAsia"/>
              </w:rPr>
              <w:t>T</w:t>
            </w:r>
            <w:r>
              <w:t>otal</w:t>
            </w:r>
          </w:p>
        </w:tc>
        <w:tc>
          <w:tcPr>
            <w:tcW w:w="1134" w:type="dxa"/>
            <w:tcBorders>
              <w:top w:val="single" w:sz="4" w:space="0" w:color="auto"/>
              <w:left w:val="nil"/>
              <w:bottom w:val="single" w:sz="4" w:space="0" w:color="auto"/>
              <w:right w:val="single" w:sz="4" w:space="0" w:color="auto"/>
            </w:tcBorders>
            <w:hideMark/>
          </w:tcPr>
          <w:p w:rsidR="00185B22" w:rsidRDefault="00185B22">
            <w:pPr>
              <w:pStyle w:val="a7"/>
              <w:kinsoku w:val="0"/>
              <w:overflowPunct w:val="0"/>
              <w:spacing w:before="9" w:after="1"/>
            </w:pPr>
            <w:r>
              <w:rPr>
                <w:rFonts w:hint="eastAsia"/>
              </w:rPr>
              <w:t>M</w:t>
            </w:r>
            <w:r>
              <w:t xml:space="preserve">oldy </w:t>
            </w:r>
            <w:r>
              <w:rPr>
                <w:rFonts w:hint="eastAsia"/>
              </w:rPr>
              <w:t>Kernels</w:t>
            </w:r>
          </w:p>
        </w:tc>
        <w:tc>
          <w:tcPr>
            <w:tcW w:w="1418" w:type="dxa"/>
            <w:tcBorders>
              <w:top w:val="single" w:sz="4" w:space="0" w:color="auto"/>
              <w:left w:val="nil"/>
              <w:bottom w:val="single" w:sz="4" w:space="0" w:color="auto"/>
              <w:right w:val="single" w:sz="4" w:space="0" w:color="auto"/>
            </w:tcBorders>
          </w:tcPr>
          <w:p w:rsidR="00185B22" w:rsidRDefault="00185B22">
            <w:pPr>
              <w:pStyle w:val="a7"/>
              <w:kinsoku w:val="0"/>
              <w:overflowPunct w:val="0"/>
              <w:spacing w:before="9" w:after="1"/>
              <w:ind w:firstLine="480"/>
            </w:pPr>
          </w:p>
        </w:tc>
      </w:tr>
      <w:tr w:rsidR="00185B22" w:rsidTr="00185B22">
        <w:tc>
          <w:tcPr>
            <w:tcW w:w="1523" w:type="dxa"/>
            <w:tcBorders>
              <w:top w:val="single" w:sz="4" w:space="0" w:color="auto"/>
              <w:left w:val="single" w:sz="4" w:space="0" w:color="auto"/>
              <w:bottom w:val="single" w:sz="4" w:space="0" w:color="auto"/>
              <w:right w:val="single" w:sz="4" w:space="0" w:color="auto"/>
            </w:tcBorders>
            <w:hideMark/>
          </w:tcPr>
          <w:p w:rsidR="00185B22" w:rsidRDefault="00185B22">
            <w:pPr>
              <w:pStyle w:val="a7"/>
              <w:kinsoku w:val="0"/>
              <w:overflowPunct w:val="0"/>
              <w:spacing w:before="9" w:after="1"/>
              <w:ind w:firstLine="480"/>
            </w:pPr>
            <w:r>
              <w:rPr>
                <w:rFonts w:hint="eastAsia"/>
              </w:rPr>
              <w:t>≥</w:t>
            </w:r>
            <w:r>
              <w:t>675</w:t>
            </w:r>
          </w:p>
        </w:tc>
        <w:tc>
          <w:tcPr>
            <w:tcW w:w="1104" w:type="dxa"/>
            <w:tcBorders>
              <w:top w:val="single" w:sz="4" w:space="0" w:color="auto"/>
              <w:left w:val="nil"/>
              <w:bottom w:val="single" w:sz="4" w:space="0" w:color="auto"/>
              <w:right w:val="single" w:sz="4" w:space="0" w:color="auto"/>
            </w:tcBorders>
            <w:hideMark/>
          </w:tcPr>
          <w:p w:rsidR="00185B22" w:rsidRDefault="00185B22">
            <w:pPr>
              <w:pStyle w:val="a7"/>
              <w:kinsoku w:val="0"/>
              <w:overflowPunct w:val="0"/>
              <w:spacing w:before="9" w:after="1"/>
              <w:ind w:firstLine="480"/>
            </w:pPr>
            <w:r>
              <w:rPr>
                <w:rFonts w:hint="eastAsia"/>
              </w:rPr>
              <w:t>≤</w:t>
            </w:r>
            <w:r>
              <w:t>1.0</w:t>
            </w:r>
          </w:p>
        </w:tc>
        <w:tc>
          <w:tcPr>
            <w:tcW w:w="1559" w:type="dxa"/>
            <w:tcBorders>
              <w:top w:val="single" w:sz="4" w:space="0" w:color="auto"/>
              <w:left w:val="nil"/>
              <w:bottom w:val="single" w:sz="4" w:space="0" w:color="auto"/>
              <w:right w:val="single" w:sz="4" w:space="0" w:color="auto"/>
            </w:tcBorders>
            <w:hideMark/>
          </w:tcPr>
          <w:p w:rsidR="00185B22" w:rsidRDefault="00185B22">
            <w:pPr>
              <w:pStyle w:val="a7"/>
              <w:kinsoku w:val="0"/>
              <w:overflowPunct w:val="0"/>
              <w:spacing w:before="9" w:after="1"/>
              <w:ind w:firstLine="480"/>
            </w:pPr>
            <w:r>
              <w:rPr>
                <w:rFonts w:hint="eastAsia"/>
              </w:rPr>
              <w:t>≤</w:t>
            </w:r>
            <w:r>
              <w:t>14.0</w:t>
            </w:r>
          </w:p>
        </w:tc>
        <w:tc>
          <w:tcPr>
            <w:tcW w:w="1559" w:type="dxa"/>
            <w:tcBorders>
              <w:top w:val="single" w:sz="4" w:space="0" w:color="auto"/>
              <w:left w:val="nil"/>
              <w:bottom w:val="single" w:sz="4" w:space="0" w:color="auto"/>
              <w:right w:val="single" w:sz="4" w:space="0" w:color="auto"/>
            </w:tcBorders>
            <w:hideMark/>
          </w:tcPr>
          <w:p w:rsidR="00185B22" w:rsidRDefault="00185B22">
            <w:pPr>
              <w:pStyle w:val="a7"/>
              <w:kinsoku w:val="0"/>
              <w:overflowPunct w:val="0"/>
              <w:spacing w:before="9" w:after="1"/>
              <w:ind w:firstLine="480"/>
            </w:pPr>
            <w:r>
              <w:rPr>
                <w:rFonts w:hint="eastAsia"/>
              </w:rPr>
              <w:t>≤</w:t>
            </w:r>
            <w:r>
              <w:t>8.0</w:t>
            </w:r>
          </w:p>
        </w:tc>
        <w:tc>
          <w:tcPr>
            <w:tcW w:w="1134" w:type="dxa"/>
            <w:tcBorders>
              <w:top w:val="single" w:sz="4" w:space="0" w:color="auto"/>
              <w:left w:val="nil"/>
              <w:bottom w:val="single" w:sz="4" w:space="0" w:color="auto"/>
              <w:right w:val="single" w:sz="4" w:space="0" w:color="auto"/>
            </w:tcBorders>
            <w:hideMark/>
          </w:tcPr>
          <w:p w:rsidR="00185B22" w:rsidRDefault="00185B22">
            <w:pPr>
              <w:pStyle w:val="a7"/>
              <w:kinsoku w:val="0"/>
              <w:overflowPunct w:val="0"/>
              <w:spacing w:before="9" w:after="1"/>
              <w:ind w:firstLine="480"/>
            </w:pPr>
            <w:r>
              <w:rPr>
                <w:rFonts w:hint="eastAsia"/>
              </w:rPr>
              <w:t>≤</w:t>
            </w:r>
            <w:r>
              <w:t>2.0</w:t>
            </w:r>
          </w:p>
        </w:tc>
        <w:tc>
          <w:tcPr>
            <w:tcW w:w="1418" w:type="dxa"/>
            <w:tcBorders>
              <w:top w:val="single" w:sz="4" w:space="0" w:color="auto"/>
              <w:left w:val="nil"/>
              <w:bottom w:val="single" w:sz="4" w:space="0" w:color="auto"/>
              <w:right w:val="single" w:sz="4" w:space="0" w:color="auto"/>
            </w:tcBorders>
            <w:hideMark/>
          </w:tcPr>
          <w:p w:rsidR="00185B22" w:rsidRDefault="00185B22">
            <w:pPr>
              <w:pStyle w:val="a7"/>
              <w:kinsoku w:val="0"/>
              <w:overflowPunct w:val="0"/>
              <w:spacing w:before="9" w:after="1"/>
              <w:ind w:firstLine="480"/>
            </w:pPr>
            <w:r>
              <w:rPr>
                <w:rFonts w:hint="eastAsia"/>
              </w:rPr>
              <w:t>Normal</w:t>
            </w:r>
          </w:p>
        </w:tc>
      </w:tr>
    </w:tbl>
    <w:p w:rsidR="00185B22" w:rsidRDefault="00185B22" w:rsidP="00185B22">
      <w:pPr>
        <w:pStyle w:val="a9"/>
        <w:widowControl/>
        <w:shd w:val="clear" w:color="auto" w:fill="FFFFFF"/>
        <w:snapToGrid w:val="0"/>
        <w:spacing w:after="200" w:line="288" w:lineRule="auto"/>
        <w:ind w:left="567" w:firstLineChars="0" w:firstLine="0"/>
        <w:rPr>
          <w:rFonts w:ascii="Times New Roman" w:hAnsi="Times New Roman" w:cs="Arial"/>
          <w:color w:val="333333"/>
          <w:kern w:val="0"/>
          <w:sz w:val="24"/>
          <w:szCs w:val="24"/>
        </w:rPr>
      </w:pPr>
      <w:r>
        <w:rPr>
          <w:rFonts w:ascii="Times New Roman" w:hAnsi="Times New Roman" w:cs="Arial"/>
          <w:color w:val="333333"/>
          <w:kern w:val="0"/>
          <w:sz w:val="24"/>
          <w:szCs w:val="24"/>
        </w:rPr>
        <w:t xml:space="preserve"> </w:t>
      </w:r>
    </w:p>
    <w:p w:rsidR="00185B22" w:rsidRDefault="00185B22" w:rsidP="00185B22">
      <w:pPr>
        <w:pStyle w:val="a9"/>
        <w:widowControl/>
        <w:numPr>
          <w:ilvl w:val="1"/>
          <w:numId w:val="7"/>
        </w:numPr>
        <w:shd w:val="clear" w:color="auto" w:fill="FFFFFF"/>
        <w:snapToGrid w:val="0"/>
        <w:spacing w:after="200" w:line="288" w:lineRule="auto"/>
        <w:ind w:left="567" w:firstLineChars="0"/>
        <w:rPr>
          <w:rFonts w:ascii="Times New Roman" w:hAnsi="Times New Roman" w:cs="Arial"/>
          <w:color w:val="333333"/>
          <w:kern w:val="0"/>
          <w:sz w:val="24"/>
          <w:szCs w:val="24"/>
        </w:rPr>
      </w:pPr>
      <w:r>
        <w:rPr>
          <w:rFonts w:ascii="Times New Roman" w:hAnsi="Times New Roman" w:cs="Arial"/>
          <w:color w:val="333333"/>
          <w:kern w:val="0"/>
          <w:sz w:val="24"/>
          <w:szCs w:val="24"/>
        </w:rPr>
        <w:t>Discount by quality difference under corn futures contract</w:t>
      </w:r>
    </w:p>
    <w:tbl>
      <w:tblPr>
        <w:tblW w:w="7709" w:type="dxa"/>
        <w:tblInd w:w="659" w:type="dxa"/>
        <w:tblCellMar>
          <w:left w:w="0" w:type="dxa"/>
          <w:right w:w="0" w:type="dxa"/>
        </w:tblCellMar>
        <w:tblLook w:val="04A0" w:firstRow="1" w:lastRow="0" w:firstColumn="1" w:lastColumn="0" w:noHBand="0" w:noVBand="1"/>
      </w:tblPr>
      <w:tblGrid>
        <w:gridCol w:w="1418"/>
        <w:gridCol w:w="1919"/>
        <w:gridCol w:w="2698"/>
        <w:gridCol w:w="1674"/>
      </w:tblGrid>
      <w:tr w:rsidR="00185B22" w:rsidTr="00185B22">
        <w:trPr>
          <w:trHeight w:val="769"/>
        </w:trPr>
        <w:tc>
          <w:tcPr>
            <w:tcW w:w="1418" w:type="dxa"/>
            <w:tcBorders>
              <w:top w:val="single" w:sz="6" w:space="0" w:color="231F20"/>
              <w:left w:val="single" w:sz="6" w:space="0" w:color="231F20"/>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lastRenderedPageBreak/>
              <w:t>Item</w:t>
            </w:r>
          </w:p>
        </w:tc>
        <w:tc>
          <w:tcPr>
            <w:tcW w:w="1919" w:type="dxa"/>
            <w:tcBorders>
              <w:top w:val="single" w:sz="6" w:space="0" w:color="231F20"/>
              <w:left w:val="nil"/>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 xml:space="preserve">Quality Requirements for Standard Products </w:t>
            </w:r>
          </w:p>
        </w:tc>
        <w:tc>
          <w:tcPr>
            <w:tcW w:w="2698" w:type="dxa"/>
            <w:tcBorders>
              <w:top w:val="single" w:sz="6" w:space="0" w:color="231F20"/>
              <w:left w:val="nil"/>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Quality Requirements for Substitutes</w:t>
            </w:r>
          </w:p>
        </w:tc>
        <w:tc>
          <w:tcPr>
            <w:tcW w:w="1674" w:type="dxa"/>
            <w:tcBorders>
              <w:top w:val="single" w:sz="6" w:space="0" w:color="231F20"/>
              <w:left w:val="nil"/>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Discount (CNY/MT)</w:t>
            </w:r>
          </w:p>
        </w:tc>
      </w:tr>
      <w:tr w:rsidR="00185B22" w:rsidTr="00185B22">
        <w:trPr>
          <w:trHeight w:val="615"/>
        </w:trPr>
        <w:tc>
          <w:tcPr>
            <w:tcW w:w="1418" w:type="dxa"/>
            <w:tcBorders>
              <w:top w:val="nil"/>
              <w:left w:val="single" w:sz="6" w:space="0" w:color="231F20"/>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Volume Weight</w:t>
            </w:r>
            <w:r>
              <w:rPr>
                <w:rFonts w:ascii="Times New Roman" w:hAnsi="Arial" w:cs="Arial"/>
                <w:color w:val="333333"/>
                <w:sz w:val="24"/>
                <w:szCs w:val="24"/>
              </w:rPr>
              <w:t>(</w:t>
            </w:r>
            <w:r>
              <w:rPr>
                <w:rFonts w:ascii="Times New Roman" w:hAnsi="Times New Roman" w:cs="Arial"/>
                <w:color w:val="333333"/>
                <w:sz w:val="24"/>
                <w:szCs w:val="24"/>
              </w:rPr>
              <w:t>g/L</w:t>
            </w:r>
            <w:r>
              <w:rPr>
                <w:rFonts w:ascii="Times New Roman" w:hAnsi="Arial" w:cs="Arial"/>
                <w:color w:val="333333"/>
                <w:sz w:val="24"/>
                <w:szCs w:val="24"/>
              </w:rPr>
              <w:t>)</w:t>
            </w:r>
          </w:p>
        </w:tc>
        <w:tc>
          <w:tcPr>
            <w:tcW w:w="1919" w:type="dxa"/>
            <w:tcBorders>
              <w:top w:val="nil"/>
              <w:left w:val="nil"/>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w:t>
            </w:r>
            <w:r>
              <w:rPr>
                <w:rFonts w:ascii="Times New Roman" w:hAnsi="Times New Roman" w:cs="Arial"/>
                <w:color w:val="333333"/>
                <w:sz w:val="24"/>
                <w:szCs w:val="24"/>
              </w:rPr>
              <w:t>675</w:t>
            </w:r>
          </w:p>
        </w:tc>
        <w:tc>
          <w:tcPr>
            <w:tcW w:w="2698" w:type="dxa"/>
            <w:tcBorders>
              <w:top w:val="nil"/>
              <w:left w:val="nil"/>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w:t>
            </w:r>
            <w:r>
              <w:rPr>
                <w:rFonts w:ascii="Times New Roman" w:hAnsi="Times New Roman" w:cs="Arial"/>
                <w:color w:val="333333"/>
                <w:sz w:val="24"/>
                <w:szCs w:val="24"/>
              </w:rPr>
              <w:t>650 and &lt;675</w:t>
            </w:r>
          </w:p>
        </w:tc>
        <w:tc>
          <w:tcPr>
            <w:tcW w:w="1674" w:type="dxa"/>
            <w:tcBorders>
              <w:top w:val="nil"/>
              <w:left w:val="nil"/>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-40</w:t>
            </w:r>
          </w:p>
        </w:tc>
      </w:tr>
      <w:tr w:rsidR="00185B22" w:rsidTr="00185B22">
        <w:trPr>
          <w:trHeight w:val="450"/>
        </w:trPr>
        <w:tc>
          <w:tcPr>
            <w:tcW w:w="1418" w:type="dxa"/>
            <w:tcBorders>
              <w:top w:val="nil"/>
              <w:left w:val="single" w:sz="6" w:space="0" w:color="231F20"/>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Moisture</w:t>
            </w:r>
            <w:r>
              <w:rPr>
                <w:rFonts w:ascii="Times New Roman" w:hAnsi="Arial" w:cs="Arial"/>
                <w:color w:val="333333"/>
                <w:sz w:val="24"/>
                <w:szCs w:val="24"/>
              </w:rPr>
              <w:t>(</w:t>
            </w:r>
            <w:r>
              <w:rPr>
                <w:rFonts w:ascii="Times New Roman" w:hAnsi="Times New Roman" w:cs="Arial"/>
                <w:color w:val="333333"/>
                <w:sz w:val="24"/>
                <w:szCs w:val="24"/>
              </w:rPr>
              <w:t>%</w:t>
            </w:r>
            <w:r>
              <w:rPr>
                <w:rFonts w:ascii="Times New Roman" w:hAnsi="Arial" w:cs="Arial"/>
                <w:color w:val="333333"/>
                <w:sz w:val="24"/>
                <w:szCs w:val="24"/>
              </w:rPr>
              <w:t>)</w:t>
            </w:r>
          </w:p>
        </w:tc>
        <w:tc>
          <w:tcPr>
            <w:tcW w:w="1919" w:type="dxa"/>
            <w:tcBorders>
              <w:top w:val="nil"/>
              <w:left w:val="nil"/>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w:t>
            </w:r>
            <w:r>
              <w:rPr>
                <w:rFonts w:ascii="Times New Roman" w:hAnsi="Times New Roman" w:cs="Arial"/>
                <w:color w:val="333333"/>
                <w:sz w:val="24"/>
                <w:szCs w:val="24"/>
              </w:rPr>
              <w:t>14.0</w:t>
            </w:r>
          </w:p>
        </w:tc>
        <w:tc>
          <w:tcPr>
            <w:tcW w:w="2698" w:type="dxa"/>
            <w:tcBorders>
              <w:top w:val="nil"/>
              <w:left w:val="nil"/>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color w:val="333333"/>
                <w:sz w:val="24"/>
                <w:szCs w:val="24"/>
              </w:rPr>
            </w:pPr>
            <w:r>
              <w:rPr>
                <w:rFonts w:ascii="Times New Roman" w:hAnsi="Arial" w:cs="Arial" w:hint="eastAsia"/>
                <w:color w:val="333333"/>
                <w:sz w:val="24"/>
                <w:szCs w:val="24"/>
              </w:rPr>
              <w:t>＞</w:t>
            </w:r>
            <w:r>
              <w:rPr>
                <w:rFonts w:ascii="Times New Roman" w:hAnsi="Times New Roman" w:cs="Arial"/>
                <w:color w:val="333333"/>
                <w:sz w:val="24"/>
                <w:szCs w:val="24"/>
              </w:rPr>
              <w:t>14.0 and &lt;14.5</w:t>
            </w:r>
          </w:p>
        </w:tc>
        <w:tc>
          <w:tcPr>
            <w:tcW w:w="1674" w:type="dxa"/>
            <w:tcBorders>
              <w:top w:val="nil"/>
              <w:left w:val="nil"/>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0</w:t>
            </w:r>
          </w:p>
        </w:tc>
      </w:tr>
      <w:tr w:rsidR="00185B22" w:rsidTr="00185B22">
        <w:trPr>
          <w:trHeight w:val="960"/>
        </w:trPr>
        <w:tc>
          <w:tcPr>
            <w:tcW w:w="1418" w:type="dxa"/>
            <w:tcBorders>
              <w:top w:val="nil"/>
              <w:left w:val="single" w:sz="6" w:space="0" w:color="231F20"/>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Moldy Kernels</w:t>
            </w:r>
            <w:r>
              <w:rPr>
                <w:rFonts w:ascii="Times New Roman" w:hAnsi="Arial" w:cs="Arial"/>
                <w:color w:val="333333"/>
                <w:sz w:val="24"/>
                <w:szCs w:val="24"/>
              </w:rPr>
              <w:t>(</w:t>
            </w:r>
            <w:r>
              <w:rPr>
                <w:rFonts w:ascii="Times New Roman" w:hAnsi="Times New Roman" w:cs="Arial"/>
                <w:color w:val="333333"/>
                <w:sz w:val="24"/>
                <w:szCs w:val="24"/>
              </w:rPr>
              <w:t>%</w:t>
            </w:r>
            <w:r>
              <w:rPr>
                <w:rFonts w:ascii="Times New Roman" w:hAnsi="Arial" w:cs="Arial"/>
                <w:color w:val="333333"/>
                <w:sz w:val="24"/>
                <w:szCs w:val="24"/>
              </w:rPr>
              <w:t>)</w:t>
            </w:r>
          </w:p>
        </w:tc>
        <w:tc>
          <w:tcPr>
            <w:tcW w:w="1919" w:type="dxa"/>
            <w:tcBorders>
              <w:top w:val="nil"/>
              <w:left w:val="nil"/>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w:t>
            </w:r>
            <w:r>
              <w:rPr>
                <w:rFonts w:ascii="Times New Roman" w:hAnsi="Times New Roman" w:cs="Arial"/>
                <w:color w:val="333333"/>
                <w:sz w:val="24"/>
                <w:szCs w:val="24"/>
              </w:rPr>
              <w:t>2.0</w:t>
            </w:r>
          </w:p>
        </w:tc>
        <w:tc>
          <w:tcPr>
            <w:tcW w:w="2698" w:type="dxa"/>
            <w:tcBorders>
              <w:top w:val="nil"/>
              <w:left w:val="nil"/>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color w:val="333333"/>
                <w:sz w:val="24"/>
                <w:szCs w:val="24"/>
              </w:rPr>
            </w:pPr>
            <w:r>
              <w:rPr>
                <w:rFonts w:ascii="Times New Roman" w:hAnsi="Arial" w:cs="Arial" w:hint="eastAsia"/>
                <w:color w:val="333333"/>
                <w:sz w:val="24"/>
                <w:szCs w:val="24"/>
              </w:rPr>
              <w:t>＞</w:t>
            </w:r>
            <w:r>
              <w:rPr>
                <w:rFonts w:ascii="Times New Roman" w:hAnsi="Times New Roman" w:cs="Arial"/>
                <w:color w:val="333333"/>
                <w:sz w:val="24"/>
                <w:szCs w:val="24"/>
              </w:rPr>
              <w:t xml:space="preserve">2.0 and </w:t>
            </w:r>
            <w:r>
              <w:rPr>
                <w:rFonts w:ascii="Times New Roman" w:hAnsi="Times New Roman" w:cs="Arial" w:hint="eastAsia"/>
                <w:color w:val="333333"/>
                <w:sz w:val="24"/>
                <w:szCs w:val="24"/>
              </w:rPr>
              <w:t>≤</w:t>
            </w:r>
            <w:r>
              <w:rPr>
                <w:rFonts w:ascii="Times New Roman" w:hAnsi="Times New Roman" w:cs="Arial"/>
                <w:color w:val="333333"/>
                <w:sz w:val="24"/>
                <w:szCs w:val="24"/>
              </w:rPr>
              <w:t>4.0</w:t>
            </w:r>
          </w:p>
        </w:tc>
        <w:tc>
          <w:tcPr>
            <w:tcW w:w="1674" w:type="dxa"/>
            <w:tcBorders>
              <w:top w:val="nil"/>
              <w:left w:val="nil"/>
              <w:bottom w:val="single" w:sz="6" w:space="0" w:color="231F20"/>
              <w:right w:val="single" w:sz="6" w:space="0" w:color="231F20"/>
            </w:tcBorders>
            <w:vAlign w:val="center"/>
            <w:hideMark/>
          </w:tcPr>
          <w:p w:rsidR="00185B22" w:rsidRDefault="00185B22">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-50</w:t>
            </w:r>
          </w:p>
        </w:tc>
      </w:tr>
    </w:tbl>
    <w:p w:rsidR="00185B22" w:rsidRDefault="00185B22" w:rsidP="00185B22">
      <w:pPr>
        <w:pStyle w:val="a9"/>
        <w:widowControl/>
        <w:shd w:val="clear" w:color="auto" w:fill="FFFFFF"/>
        <w:snapToGrid w:val="0"/>
        <w:spacing w:after="200" w:line="288" w:lineRule="auto"/>
        <w:ind w:left="567" w:firstLineChars="0" w:firstLine="0"/>
        <w:rPr>
          <w:rFonts w:ascii="Times New Roman" w:hAnsi="Times New Roman" w:cs="Arial"/>
          <w:color w:val="333333"/>
          <w:kern w:val="0"/>
          <w:sz w:val="24"/>
          <w:szCs w:val="24"/>
        </w:rPr>
      </w:pPr>
      <w:r>
        <w:rPr>
          <w:rFonts w:ascii="Times New Roman" w:hAnsi="Times New Roman" w:cs="Arial"/>
          <w:color w:val="333333"/>
          <w:kern w:val="0"/>
          <w:sz w:val="24"/>
          <w:szCs w:val="24"/>
        </w:rPr>
        <w:t xml:space="preserve"> </w:t>
      </w:r>
    </w:p>
    <w:p w:rsidR="00185B22" w:rsidRDefault="00185B22" w:rsidP="00185B22">
      <w:pPr>
        <w:pStyle w:val="a9"/>
        <w:widowControl/>
        <w:numPr>
          <w:ilvl w:val="1"/>
          <w:numId w:val="7"/>
        </w:numPr>
        <w:shd w:val="clear" w:color="auto" w:fill="FFFFFF"/>
        <w:snapToGrid w:val="0"/>
        <w:spacing w:after="200" w:line="288" w:lineRule="auto"/>
        <w:ind w:left="567" w:firstLineChars="0"/>
        <w:rPr>
          <w:rFonts w:ascii="Times New Roman" w:hAnsi="Times New Roman" w:cs="Arial"/>
          <w:color w:val="333333"/>
          <w:kern w:val="0"/>
          <w:sz w:val="24"/>
          <w:szCs w:val="24"/>
        </w:rPr>
      </w:pPr>
      <w:r>
        <w:rPr>
          <w:rFonts w:ascii="Times New Roman" w:hAnsi="Times New Roman" w:cs="Arial"/>
          <w:color w:val="333333"/>
          <w:kern w:val="0"/>
          <w:sz w:val="24"/>
          <w:szCs w:val="24"/>
        </w:rPr>
        <w:t>Corn storage quality requirements</w:t>
      </w:r>
    </w:p>
    <w:p w:rsidR="00185B22" w:rsidRDefault="00185B22" w:rsidP="00185B22">
      <w:pPr>
        <w:shd w:val="clear" w:color="auto" w:fill="FFFFFF"/>
        <w:snapToGrid w:val="0"/>
        <w:spacing w:after="200" w:line="288" w:lineRule="auto"/>
        <w:ind w:left="567"/>
        <w:rPr>
          <w:rFonts w:ascii="Times New Roman" w:hAnsi="Times New Roman" w:cs="Arial"/>
          <w:color w:val="333333"/>
          <w:sz w:val="24"/>
          <w:szCs w:val="24"/>
        </w:rPr>
      </w:pPr>
      <w:r>
        <w:rPr>
          <w:rFonts w:ascii="Times New Roman" w:hAnsi="Times New Roman" w:cs="Arial"/>
          <w:color w:val="333333"/>
          <w:sz w:val="24"/>
          <w:szCs w:val="24"/>
        </w:rPr>
        <w:t>Load-in: suitable to be stored; load-out: suitable for storage or slightly not suitable for storage</w:t>
      </w:r>
    </w:p>
    <w:p w:rsidR="00185B22" w:rsidRDefault="00185B22" w:rsidP="00185B22">
      <w:pPr>
        <w:pStyle w:val="a9"/>
        <w:widowControl/>
        <w:numPr>
          <w:ilvl w:val="1"/>
          <w:numId w:val="7"/>
        </w:numPr>
        <w:shd w:val="clear" w:color="auto" w:fill="FFFFFF"/>
        <w:snapToGrid w:val="0"/>
        <w:spacing w:after="200" w:line="288" w:lineRule="auto"/>
        <w:ind w:left="567" w:firstLineChars="0"/>
        <w:rPr>
          <w:rFonts w:ascii="Times New Roman" w:hAnsi="Times New Roman" w:cs="Arial"/>
          <w:color w:val="333333"/>
          <w:kern w:val="0"/>
          <w:sz w:val="24"/>
          <w:szCs w:val="24"/>
        </w:rPr>
      </w:pPr>
      <w:r>
        <w:rPr>
          <w:rFonts w:ascii="Times New Roman" w:hAnsi="Times New Roman" w:cs="Arial"/>
          <w:color w:val="333333"/>
          <w:kern w:val="0"/>
          <w:sz w:val="24"/>
          <w:szCs w:val="24"/>
        </w:rPr>
        <w:t xml:space="preserve">Total unsound kernel rate of bulk grain when loaded out of </w:t>
      </w:r>
      <w:r>
        <w:rPr>
          <w:rFonts w:ascii="Times New Roman" w:hAnsi="Times New Roman" w:cs="Arial" w:hint="eastAsia"/>
          <w:color w:val="333333"/>
          <w:kern w:val="0"/>
          <w:sz w:val="24"/>
          <w:szCs w:val="24"/>
        </w:rPr>
        <w:t>the</w:t>
      </w:r>
      <w:r>
        <w:rPr>
          <w:rFonts w:ascii="Times New Roman" w:hAnsi="Times New Roman" w:cs="Arial"/>
          <w:color w:val="333333"/>
          <w:kern w:val="0"/>
          <w:sz w:val="24"/>
          <w:szCs w:val="24"/>
        </w:rPr>
        <w:t xml:space="preserve"> warehouse shall be </w:t>
      </w:r>
      <w:r>
        <w:rPr>
          <w:rFonts w:ascii="Times New Roman" w:hAnsi="Times New Roman" w:cs="Arial" w:hint="eastAsia"/>
          <w:color w:val="333333"/>
          <w:kern w:val="0"/>
          <w:sz w:val="24"/>
          <w:szCs w:val="24"/>
        </w:rPr>
        <w:t>≤</w:t>
      </w:r>
      <w:r>
        <w:rPr>
          <w:rFonts w:ascii="Times New Roman" w:hAnsi="Times New Roman" w:cs="Times New Roman" w:hint="eastAsia"/>
          <w:color w:val="333333"/>
          <w:kern w:val="0"/>
          <w:sz w:val="24"/>
          <w:szCs w:val="24"/>
        </w:rPr>
        <w:t xml:space="preserve"> </w:t>
      </w:r>
      <w:r>
        <w:rPr>
          <w:rFonts w:ascii="Times New Roman" w:hAnsi="Times New Roman" w:cs="Arial"/>
          <w:color w:val="333333"/>
          <w:kern w:val="0"/>
          <w:sz w:val="24"/>
          <w:szCs w:val="24"/>
        </w:rPr>
        <w:t>11%.</w:t>
      </w:r>
    </w:p>
    <w:p w:rsidR="00185B22" w:rsidRDefault="00185B22" w:rsidP="00185B22">
      <w:pPr>
        <w:pStyle w:val="a9"/>
        <w:widowControl/>
        <w:numPr>
          <w:ilvl w:val="1"/>
          <w:numId w:val="7"/>
        </w:numPr>
        <w:shd w:val="clear" w:color="auto" w:fill="FFFFFF"/>
        <w:snapToGrid w:val="0"/>
        <w:spacing w:after="200" w:line="288" w:lineRule="auto"/>
        <w:ind w:left="567" w:firstLineChars="0"/>
        <w:rPr>
          <w:rFonts w:ascii="Times New Roman" w:hAnsi="Times New Roman" w:cs="Arial"/>
          <w:color w:val="333333"/>
          <w:kern w:val="0"/>
          <w:sz w:val="24"/>
          <w:szCs w:val="24"/>
        </w:rPr>
      </w:pPr>
      <w:r>
        <w:rPr>
          <w:rFonts w:ascii="Times New Roman" w:hAnsi="Times New Roman" w:cs="Arial" w:hint="eastAsia"/>
          <w:color w:val="333333"/>
          <w:kern w:val="0"/>
          <w:sz w:val="24"/>
          <w:szCs w:val="24"/>
        </w:rPr>
        <w:t>Hygienic</w:t>
      </w:r>
      <w:r>
        <w:rPr>
          <w:rFonts w:ascii="Times New Roman" w:hAnsi="Times New Roman" w:cs="Arial"/>
          <w:color w:val="333333"/>
          <w:kern w:val="0"/>
          <w:sz w:val="24"/>
          <w:szCs w:val="24"/>
        </w:rPr>
        <w:t xml:space="preserve"> inspection and foliage quarantine shall be subject to China's relevant standards and rules. </w:t>
      </w:r>
      <w:r>
        <w:rPr>
          <w:rFonts w:ascii="Times New Roman" w:hAnsi="Times New Roman" w:cs="Arial" w:hint="eastAsia"/>
          <w:color w:val="333333"/>
          <w:kern w:val="0"/>
          <w:sz w:val="24"/>
          <w:szCs w:val="24"/>
        </w:rPr>
        <w:t>Hygienic</w:t>
      </w:r>
      <w:r>
        <w:rPr>
          <w:rFonts w:ascii="Times New Roman" w:hAnsi="Times New Roman" w:cs="Arial"/>
          <w:color w:val="333333"/>
          <w:kern w:val="0"/>
          <w:sz w:val="24"/>
          <w:szCs w:val="24"/>
        </w:rPr>
        <w:t xml:space="preserve"> standards shall be subject to the </w:t>
      </w:r>
      <w:r>
        <w:rPr>
          <w:rFonts w:ascii="Times New Roman" w:hAnsi="Times New Roman" w:cs="Arial"/>
          <w:i/>
          <w:iCs/>
          <w:color w:val="333333"/>
          <w:kern w:val="0"/>
          <w:sz w:val="24"/>
          <w:szCs w:val="24"/>
        </w:rPr>
        <w:t>Hygienic Standard for Feeds</w:t>
      </w:r>
      <w:r>
        <w:rPr>
          <w:rFonts w:ascii="Times New Roman" w:hAnsi="Times New Roman" w:cs="Arial"/>
          <w:color w:val="333333"/>
          <w:kern w:val="0"/>
          <w:sz w:val="24"/>
          <w:szCs w:val="24"/>
        </w:rPr>
        <w:t xml:space="preserve"> </w:t>
      </w:r>
      <w:r>
        <w:rPr>
          <w:rFonts w:ascii="Times New Roman" w:hAnsi="Times New Roman" w:cs="Arial"/>
          <w:i/>
          <w:iCs/>
          <w:color w:val="333333"/>
          <w:kern w:val="0"/>
          <w:sz w:val="24"/>
          <w:szCs w:val="24"/>
        </w:rPr>
        <w:t>(GB 13078)</w:t>
      </w:r>
      <w:r>
        <w:rPr>
          <w:rFonts w:ascii="Times New Roman" w:hAnsi="Times New Roman" w:cs="Arial"/>
          <w:color w:val="333333"/>
          <w:kern w:val="0"/>
          <w:sz w:val="24"/>
          <w:szCs w:val="24"/>
        </w:rPr>
        <w:t>.</w:t>
      </w:r>
    </w:p>
    <w:p w:rsidR="00185B22" w:rsidRDefault="00185B22" w:rsidP="00185B22">
      <w:pPr>
        <w:pStyle w:val="a9"/>
        <w:widowControl/>
        <w:numPr>
          <w:ilvl w:val="0"/>
          <w:numId w:val="7"/>
        </w:numPr>
        <w:shd w:val="clear" w:color="auto" w:fill="FFFFFF"/>
        <w:snapToGrid w:val="0"/>
        <w:spacing w:after="200" w:line="288" w:lineRule="auto"/>
        <w:ind w:firstLineChars="0"/>
        <w:rPr>
          <w:rFonts w:ascii="Times New Roman" w:hAnsi="Times New Roman" w:cs="Arial"/>
          <w:b/>
          <w:bCs/>
          <w:color w:val="333333"/>
          <w:kern w:val="0"/>
          <w:sz w:val="24"/>
          <w:szCs w:val="24"/>
        </w:rPr>
      </w:pPr>
      <w:r>
        <w:rPr>
          <w:rFonts w:ascii="Times New Roman" w:hAnsi="Times New Roman" w:cs="Arial"/>
          <w:b/>
          <w:bCs/>
          <w:color w:val="333333"/>
          <w:kern w:val="0"/>
          <w:sz w:val="24"/>
          <w:szCs w:val="24"/>
        </w:rPr>
        <w:t>Inspection methods</w:t>
      </w:r>
    </w:p>
    <w:p w:rsidR="00185B22" w:rsidRDefault="00185B22" w:rsidP="00185B22">
      <w:pPr>
        <w:shd w:val="clear" w:color="auto" w:fill="FFFFFF"/>
        <w:snapToGrid w:val="0"/>
        <w:spacing w:after="200" w:line="288" w:lineRule="auto"/>
        <w:ind w:left="420"/>
        <w:rPr>
          <w:rFonts w:ascii="Times New Roman" w:hAnsi="Times New Roman" w:cs="Arial"/>
          <w:color w:val="333333"/>
          <w:sz w:val="24"/>
          <w:szCs w:val="24"/>
        </w:rPr>
      </w:pPr>
      <w:r>
        <w:rPr>
          <w:rFonts w:ascii="Times New Roman" w:hAnsi="Times New Roman" w:cs="Arial"/>
          <w:color w:val="333333"/>
          <w:sz w:val="24"/>
          <w:szCs w:val="24"/>
        </w:rPr>
        <w:t xml:space="preserve">Subject to </w:t>
      </w:r>
      <w:r>
        <w:rPr>
          <w:rFonts w:ascii="Times New Roman" w:hAnsi="Times New Roman" w:cs="Arial"/>
          <w:i/>
          <w:iCs/>
          <w:color w:val="333333"/>
          <w:sz w:val="24"/>
          <w:szCs w:val="24"/>
        </w:rPr>
        <w:t>GB 1353-2009</w:t>
      </w:r>
      <w:r>
        <w:rPr>
          <w:rFonts w:ascii="Times New Roman" w:hAnsi="Times New Roman" w:cs="Arial"/>
          <w:color w:val="333333"/>
          <w:sz w:val="24"/>
          <w:szCs w:val="24"/>
        </w:rPr>
        <w:t xml:space="preserve"> and </w:t>
      </w:r>
      <w:r>
        <w:rPr>
          <w:rFonts w:ascii="Times New Roman" w:hAnsi="Times New Roman" w:cs="Arial"/>
          <w:i/>
          <w:iCs/>
          <w:color w:val="333333"/>
          <w:sz w:val="24"/>
          <w:szCs w:val="24"/>
        </w:rPr>
        <w:t>GB/T 20570-2006</w:t>
      </w:r>
      <w:r>
        <w:rPr>
          <w:rFonts w:ascii="Times New Roman" w:hAnsi="Times New Roman" w:cs="Arial"/>
          <w:color w:val="333333"/>
          <w:sz w:val="24"/>
          <w:szCs w:val="24"/>
        </w:rPr>
        <w:t>.</w:t>
      </w:r>
    </w:p>
    <w:p w:rsidR="00185B22" w:rsidRDefault="00185B22" w:rsidP="00185B22">
      <w:pPr>
        <w:pStyle w:val="a9"/>
        <w:widowControl/>
        <w:numPr>
          <w:ilvl w:val="0"/>
          <w:numId w:val="7"/>
        </w:numPr>
        <w:shd w:val="clear" w:color="auto" w:fill="FFFFFF"/>
        <w:snapToGrid w:val="0"/>
        <w:spacing w:after="200" w:line="288" w:lineRule="auto"/>
        <w:ind w:firstLineChars="0"/>
        <w:rPr>
          <w:rFonts w:ascii="Times New Roman" w:hAnsi="Times New Roman" w:cs="Arial"/>
          <w:b/>
          <w:bCs/>
          <w:color w:val="333333"/>
          <w:kern w:val="0"/>
          <w:sz w:val="24"/>
          <w:szCs w:val="24"/>
        </w:rPr>
      </w:pPr>
      <w:r>
        <w:rPr>
          <w:rFonts w:ascii="Times New Roman" w:hAnsi="Times New Roman" w:cs="Arial"/>
          <w:b/>
          <w:bCs/>
          <w:color w:val="333333"/>
          <w:kern w:val="0"/>
          <w:sz w:val="24"/>
          <w:szCs w:val="24"/>
        </w:rPr>
        <w:t>Additional note</w:t>
      </w:r>
    </w:p>
    <w:p w:rsidR="00185B22" w:rsidRDefault="00185B22" w:rsidP="00185B22">
      <w:pPr>
        <w:shd w:val="clear" w:color="auto" w:fill="FFFFFF"/>
        <w:snapToGrid w:val="0"/>
        <w:spacing w:after="200" w:line="288" w:lineRule="auto"/>
        <w:ind w:left="420"/>
        <w:rPr>
          <w:rFonts w:ascii="Times New Roman" w:hAnsi="Times New Roman" w:cs="Arial"/>
          <w:color w:val="333333"/>
          <w:sz w:val="24"/>
          <w:szCs w:val="24"/>
        </w:rPr>
      </w:pPr>
      <w:r>
        <w:rPr>
          <w:rFonts w:ascii="Times New Roman" w:hAnsi="Times New Roman" w:cs="Arial" w:hint="eastAsia"/>
          <w:color w:val="333333"/>
          <w:sz w:val="24"/>
          <w:szCs w:val="24"/>
        </w:rPr>
        <w:t>The</w:t>
      </w:r>
      <w:r>
        <w:rPr>
          <w:rFonts w:ascii="Times New Roman" w:hAnsi="Times New Roman" w:cs="Arial"/>
          <w:color w:val="333333"/>
          <w:sz w:val="24"/>
          <w:szCs w:val="24"/>
        </w:rPr>
        <w:t xml:space="preserve"> Standard shall be subject to the interpretation of DCE.</w:t>
      </w:r>
    </w:p>
    <w:p w:rsidR="00185B22" w:rsidRDefault="00185B22" w:rsidP="00185B22">
      <w:pPr>
        <w:shd w:val="clear" w:color="auto" w:fill="FFFFFF"/>
        <w:snapToGrid w:val="0"/>
        <w:spacing w:after="200" w:line="288" w:lineRule="auto"/>
        <w:ind w:left="420"/>
        <w:rPr>
          <w:rFonts w:ascii="Times New Roman" w:hAnsi="Times New Roman" w:cs="Arial"/>
          <w:color w:val="333333"/>
          <w:sz w:val="24"/>
          <w:szCs w:val="24"/>
        </w:rPr>
      </w:pPr>
      <w:r>
        <w:rPr>
          <w:rFonts w:ascii="Times New Roman" w:hAnsi="Times New Roman" w:cs="Arial"/>
          <w:color w:val="333333"/>
          <w:sz w:val="24"/>
          <w:szCs w:val="24"/>
        </w:rPr>
        <w:t xml:space="preserve"> </w:t>
      </w:r>
    </w:p>
    <w:p w:rsidR="007D472F" w:rsidRPr="00125CBC" w:rsidRDefault="00185B22" w:rsidP="007D472F">
      <w:pPr>
        <w:jc w:val="left"/>
        <w:rPr>
          <w:rFonts w:ascii="Times New Roman" w:hAnsi="Times New Roman" w:cs="Times New Roman"/>
          <w:color w:val="333333"/>
          <w:sz w:val="24"/>
          <w:szCs w:val="24"/>
        </w:rPr>
      </w:pPr>
      <w:r>
        <w:rPr>
          <w:rFonts w:ascii="Times New Roman" w:hAnsi="Times New Roman" w:cs="Arial" w:hint="eastAsia"/>
          <w:b/>
          <w:bCs/>
          <w:color w:val="333333"/>
          <w:sz w:val="24"/>
          <w:szCs w:val="24"/>
        </w:rPr>
        <w:t>Annex</w:t>
      </w:r>
      <w:r>
        <w:rPr>
          <w:rFonts w:ascii="Times New Roman" w:hAnsi="Times New Roman" w:cs="Arial"/>
          <w:b/>
          <w:bCs/>
          <w:color w:val="333333"/>
          <w:sz w:val="24"/>
          <w:szCs w:val="24"/>
        </w:rPr>
        <w:t xml:space="preserve"> 2: List of Delivery Warehouses Designated for Corn of Dalian Commodity Exchange.</w:t>
      </w:r>
      <w:r>
        <w:rPr>
          <w:rFonts w:ascii="Times New Roman" w:hAnsi="Times New Roman" w:cs="Arial" w:hint="eastAsia"/>
          <w:color w:val="333333"/>
          <w:sz w:val="24"/>
          <w:szCs w:val="24"/>
        </w:rPr>
        <w:t xml:space="preserve"> </w:t>
      </w:r>
      <w:bookmarkStart w:id="0" w:name="_GoBack"/>
      <w:r w:rsidR="007D472F" w:rsidRPr="00125CBC">
        <w:rPr>
          <w:rFonts w:ascii="Times New Roman" w:hAnsi="Times New Roman" w:cs="Times New Roman"/>
          <w:color w:val="333333"/>
          <w:sz w:val="24"/>
          <w:szCs w:val="24"/>
        </w:rPr>
        <w:t>（</w:t>
      </w:r>
      <w:r w:rsidR="007D472F" w:rsidRPr="00125CBC">
        <w:rPr>
          <w:rFonts w:ascii="Times New Roman" w:hAnsi="Times New Roman" w:cs="Times New Roman"/>
          <w:sz w:val="24"/>
          <w:szCs w:val="24"/>
        </w:rPr>
        <w:t>http://www.dce.com.cn/dalianshangpin/ywfw/ywzy/nypjgywzy/index.html</w:t>
      </w:r>
      <w:r w:rsidR="007D472F" w:rsidRPr="00125CBC">
        <w:rPr>
          <w:rFonts w:ascii="Times New Roman" w:hAnsi="Times New Roman" w:cs="Times New Roman"/>
          <w:color w:val="333333"/>
          <w:sz w:val="24"/>
          <w:szCs w:val="24"/>
        </w:rPr>
        <w:t>）</w:t>
      </w:r>
    </w:p>
    <w:bookmarkEnd w:id="0"/>
    <w:p w:rsidR="00185B22" w:rsidRDefault="00185B22" w:rsidP="007D472F">
      <w:pPr>
        <w:adjustRightInd w:val="0"/>
        <w:snapToGrid w:val="0"/>
        <w:spacing w:after="200" w:line="288" w:lineRule="auto"/>
        <w:jc w:val="left"/>
        <w:rPr>
          <w:rFonts w:ascii="Times New Roman" w:hAnsi="Times New Roman" w:cs="Arial"/>
          <w:color w:val="333333"/>
          <w:sz w:val="24"/>
          <w:szCs w:val="24"/>
        </w:rPr>
      </w:pPr>
      <w:r>
        <w:rPr>
          <w:rFonts w:ascii="Times New Roman" w:hAnsi="Times New Roman" w:cs="Arial" w:hint="eastAsia"/>
          <w:color w:val="333333"/>
          <w:sz w:val="24"/>
          <w:szCs w:val="24"/>
        </w:rPr>
        <w:t xml:space="preserve"> </w:t>
      </w:r>
    </w:p>
    <w:p w:rsidR="002757CE" w:rsidRPr="00185B22" w:rsidRDefault="002757CE" w:rsidP="002F2BD9">
      <w:pPr>
        <w:adjustRightInd w:val="0"/>
        <w:snapToGrid w:val="0"/>
        <w:spacing w:before="200" w:line="288" w:lineRule="auto"/>
        <w:jc w:val="left"/>
        <w:rPr>
          <w:rFonts w:ascii="Times New Roman" w:hAnsi="Times New Roman" w:cs="Times New Roman"/>
          <w:b/>
          <w:sz w:val="24"/>
          <w:szCs w:val="24"/>
        </w:rPr>
      </w:pPr>
    </w:p>
    <w:sectPr w:rsidR="002757CE" w:rsidRPr="00185B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B22" w:rsidRDefault="00185B22" w:rsidP="00185B22">
      <w:r>
        <w:separator/>
      </w:r>
    </w:p>
  </w:endnote>
  <w:endnote w:type="continuationSeparator" w:id="0">
    <w:p w:rsidR="00185B22" w:rsidRDefault="00185B22" w:rsidP="0018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B22" w:rsidRDefault="00185B22" w:rsidP="00185B22">
      <w:r>
        <w:separator/>
      </w:r>
    </w:p>
  </w:footnote>
  <w:footnote w:type="continuationSeparator" w:id="0">
    <w:p w:rsidR="00185B22" w:rsidRDefault="00185B22" w:rsidP="00185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15571"/>
    <w:multiLevelType w:val="multilevel"/>
    <w:tmpl w:val="2D415571"/>
    <w:lvl w:ilvl="0">
      <w:start w:val="1"/>
      <w:numFmt w:val="decimal"/>
      <w:lvlText w:val="(%1)"/>
      <w:lvlJc w:val="left"/>
      <w:pPr>
        <w:ind w:left="1696" w:hanging="420"/>
      </w:pPr>
      <w:rPr>
        <w:rFonts w:hint="eastAsia"/>
        <w:b w:val="0"/>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 w15:restartNumberingAfterBreak="0">
    <w:nsid w:val="30CB0BE8"/>
    <w:multiLevelType w:val="multilevel"/>
    <w:tmpl w:val="30CB0BE8"/>
    <w:lvl w:ilvl="0">
      <w:start w:val="1"/>
      <w:numFmt w:val="decimal"/>
      <w:lvlText w:val="Article %1"/>
      <w:lvlJc w:val="left"/>
      <w:pPr>
        <w:ind w:left="420" w:hanging="420"/>
      </w:pPr>
      <w:rPr>
        <w:rFonts w:hint="eastAsia"/>
        <w:b/>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4FE2A2D"/>
    <w:multiLevelType w:val="multilevel"/>
    <w:tmpl w:val="34FE2A2D"/>
    <w:lvl w:ilvl="0">
      <w:start w:val="1"/>
      <w:numFmt w:val="decimal"/>
      <w:lvlText w:val="(%1)"/>
      <w:lvlJc w:val="left"/>
      <w:pPr>
        <w:ind w:left="2097" w:hanging="360"/>
      </w:pPr>
      <w:rPr>
        <w:rFonts w:hint="default"/>
        <w:shd w:val="clear" w:color="auto" w:fill="auto"/>
      </w:rPr>
    </w:lvl>
    <w:lvl w:ilvl="1">
      <w:start w:val="1"/>
      <w:numFmt w:val="lowerLetter"/>
      <w:lvlText w:val="%2."/>
      <w:lvlJc w:val="left"/>
      <w:pPr>
        <w:ind w:left="2817" w:hanging="360"/>
      </w:pPr>
    </w:lvl>
    <w:lvl w:ilvl="2">
      <w:start w:val="1"/>
      <w:numFmt w:val="lowerRoman"/>
      <w:lvlText w:val="%3."/>
      <w:lvlJc w:val="right"/>
      <w:pPr>
        <w:ind w:left="3537" w:hanging="180"/>
      </w:pPr>
    </w:lvl>
    <w:lvl w:ilvl="3">
      <w:start w:val="1"/>
      <w:numFmt w:val="decimal"/>
      <w:lvlText w:val="%4."/>
      <w:lvlJc w:val="left"/>
      <w:pPr>
        <w:ind w:left="4257" w:hanging="360"/>
      </w:pPr>
    </w:lvl>
    <w:lvl w:ilvl="4">
      <w:start w:val="1"/>
      <w:numFmt w:val="lowerLetter"/>
      <w:lvlText w:val="%5."/>
      <w:lvlJc w:val="left"/>
      <w:pPr>
        <w:ind w:left="4977" w:hanging="360"/>
      </w:pPr>
    </w:lvl>
    <w:lvl w:ilvl="5">
      <w:start w:val="1"/>
      <w:numFmt w:val="lowerRoman"/>
      <w:lvlText w:val="%6."/>
      <w:lvlJc w:val="right"/>
      <w:pPr>
        <w:ind w:left="5697" w:hanging="180"/>
      </w:pPr>
    </w:lvl>
    <w:lvl w:ilvl="6">
      <w:start w:val="1"/>
      <w:numFmt w:val="decimal"/>
      <w:lvlText w:val="%7."/>
      <w:lvlJc w:val="left"/>
      <w:pPr>
        <w:ind w:left="6417" w:hanging="360"/>
      </w:pPr>
    </w:lvl>
    <w:lvl w:ilvl="7">
      <w:start w:val="1"/>
      <w:numFmt w:val="lowerLetter"/>
      <w:lvlText w:val="%8."/>
      <w:lvlJc w:val="left"/>
      <w:pPr>
        <w:ind w:left="7137" w:hanging="360"/>
      </w:pPr>
    </w:lvl>
    <w:lvl w:ilvl="8">
      <w:start w:val="1"/>
      <w:numFmt w:val="lowerRoman"/>
      <w:lvlText w:val="%9."/>
      <w:lvlJc w:val="right"/>
      <w:pPr>
        <w:ind w:left="7857" w:hanging="180"/>
      </w:pPr>
    </w:lvl>
  </w:abstractNum>
  <w:abstractNum w:abstractNumId="3" w15:restartNumberingAfterBreak="0">
    <w:nsid w:val="45940374"/>
    <w:multiLevelType w:val="multilevel"/>
    <w:tmpl w:val="0409001D"/>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992" w:hanging="567"/>
      </w:pPr>
      <w:rPr>
        <w:rFonts w:ascii="Times New Roman" w:hAnsi="Times New Roman" w:cs="Times New Roman" w:hint="default"/>
        <w:b w:val="0"/>
        <w:bCs w:val="0"/>
      </w:rPr>
    </w:lvl>
    <w:lvl w:ilvl="2">
      <w:start w:val="1"/>
      <w:numFmt w:val="decimal"/>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ascii="Times New Roman" w:hAnsi="Times New Roman" w:cs="Times New Roman" w:hint="default"/>
      </w:rPr>
    </w:lvl>
    <w:lvl w:ilvl="4">
      <w:start w:val="1"/>
      <w:numFmt w:val="decimal"/>
      <w:lvlText w:val="%1.%2.%3.%4.%5"/>
      <w:lvlJc w:val="left"/>
      <w:pPr>
        <w:ind w:left="2551" w:hanging="850"/>
      </w:pPr>
      <w:rPr>
        <w:rFonts w:ascii="Times New Roman" w:hAnsi="Times New Roman" w:cs="Times New Roman" w:hint="default"/>
      </w:rPr>
    </w:lvl>
    <w:lvl w:ilvl="5">
      <w:start w:val="1"/>
      <w:numFmt w:val="decimal"/>
      <w:lvlText w:val="%1.%2.%3.%4.%5.%6"/>
      <w:lvlJc w:val="left"/>
      <w:pPr>
        <w:ind w:left="3260" w:hanging="1134"/>
      </w:pPr>
      <w:rPr>
        <w:rFonts w:ascii="Times New Roman" w:hAnsi="Times New Roman" w:cs="Times New Roman" w:hint="default"/>
      </w:rPr>
    </w:lvl>
    <w:lvl w:ilvl="6">
      <w:start w:val="1"/>
      <w:numFmt w:val="decimal"/>
      <w:lvlText w:val="%1.%2.%3.%4.%5.%6.%7"/>
      <w:lvlJc w:val="left"/>
      <w:pPr>
        <w:ind w:left="3827" w:hanging="1276"/>
      </w:pPr>
      <w:rPr>
        <w:rFonts w:ascii="Times New Roman" w:hAnsi="Times New Roman" w:cs="Times New Roman" w:hint="default"/>
      </w:rPr>
    </w:lvl>
    <w:lvl w:ilvl="7">
      <w:start w:val="1"/>
      <w:numFmt w:val="decimal"/>
      <w:lvlText w:val="%1.%2.%3.%4.%5.%6.%7.%8"/>
      <w:lvlJc w:val="left"/>
      <w:pPr>
        <w:ind w:left="4394" w:hanging="1418"/>
      </w:pPr>
      <w:rPr>
        <w:rFonts w:ascii="Times New Roman" w:hAnsi="Times New Roman" w:cs="Times New Roman" w:hint="default"/>
      </w:rPr>
    </w:lvl>
    <w:lvl w:ilvl="8">
      <w:start w:val="1"/>
      <w:numFmt w:val="decimal"/>
      <w:lvlText w:val="%1.%2.%3.%4.%5.%6.%7.%8.%9"/>
      <w:lvlJc w:val="left"/>
      <w:pPr>
        <w:ind w:left="5102" w:hanging="1700"/>
      </w:pPr>
      <w:rPr>
        <w:rFonts w:ascii="Times New Roman" w:hAnsi="Times New Roman" w:cs="Times New Roman" w:hint="default"/>
      </w:rPr>
    </w:lvl>
  </w:abstractNum>
  <w:abstractNum w:abstractNumId="4" w15:restartNumberingAfterBreak="0">
    <w:nsid w:val="483564EA"/>
    <w:multiLevelType w:val="multilevel"/>
    <w:tmpl w:val="483564EA"/>
    <w:lvl w:ilvl="0">
      <w:start w:val="1"/>
      <w:numFmt w:val="decimal"/>
      <w:lvlText w:val="(%1)"/>
      <w:lvlJc w:val="left"/>
      <w:pPr>
        <w:ind w:left="2097" w:hanging="360"/>
      </w:pPr>
      <w:rPr>
        <w:rFonts w:hint="default"/>
        <w:shd w:val="clear" w:color="auto" w:fill="auto"/>
      </w:rPr>
    </w:lvl>
    <w:lvl w:ilvl="1">
      <w:start w:val="1"/>
      <w:numFmt w:val="lowerLetter"/>
      <w:lvlText w:val="%2."/>
      <w:lvlJc w:val="left"/>
      <w:pPr>
        <w:ind w:left="2817" w:hanging="360"/>
      </w:pPr>
    </w:lvl>
    <w:lvl w:ilvl="2">
      <w:start w:val="1"/>
      <w:numFmt w:val="lowerRoman"/>
      <w:lvlText w:val="%3."/>
      <w:lvlJc w:val="right"/>
      <w:pPr>
        <w:ind w:left="3537" w:hanging="180"/>
      </w:pPr>
    </w:lvl>
    <w:lvl w:ilvl="3">
      <w:start w:val="1"/>
      <w:numFmt w:val="decimal"/>
      <w:lvlText w:val="%4."/>
      <w:lvlJc w:val="left"/>
      <w:pPr>
        <w:ind w:left="4257" w:hanging="360"/>
      </w:pPr>
    </w:lvl>
    <w:lvl w:ilvl="4">
      <w:start w:val="1"/>
      <w:numFmt w:val="lowerLetter"/>
      <w:lvlText w:val="%5."/>
      <w:lvlJc w:val="left"/>
      <w:pPr>
        <w:ind w:left="4977" w:hanging="360"/>
      </w:pPr>
    </w:lvl>
    <w:lvl w:ilvl="5">
      <w:start w:val="1"/>
      <w:numFmt w:val="lowerRoman"/>
      <w:lvlText w:val="%6."/>
      <w:lvlJc w:val="right"/>
      <w:pPr>
        <w:ind w:left="5697" w:hanging="180"/>
      </w:pPr>
    </w:lvl>
    <w:lvl w:ilvl="6">
      <w:start w:val="1"/>
      <w:numFmt w:val="decimal"/>
      <w:lvlText w:val="%7."/>
      <w:lvlJc w:val="left"/>
      <w:pPr>
        <w:ind w:left="6417" w:hanging="360"/>
      </w:pPr>
    </w:lvl>
    <w:lvl w:ilvl="7">
      <w:start w:val="1"/>
      <w:numFmt w:val="lowerLetter"/>
      <w:lvlText w:val="%8."/>
      <w:lvlJc w:val="left"/>
      <w:pPr>
        <w:ind w:left="7137" w:hanging="360"/>
      </w:pPr>
    </w:lvl>
    <w:lvl w:ilvl="8">
      <w:start w:val="1"/>
      <w:numFmt w:val="lowerRoman"/>
      <w:lvlText w:val="%9."/>
      <w:lvlJc w:val="right"/>
      <w:pPr>
        <w:ind w:left="7857" w:hanging="180"/>
      </w:pPr>
    </w:lvl>
  </w:abstractNum>
  <w:abstractNum w:abstractNumId="5" w15:restartNumberingAfterBreak="0">
    <w:nsid w:val="576159E7"/>
    <w:multiLevelType w:val="multilevel"/>
    <w:tmpl w:val="576159E7"/>
    <w:lvl w:ilvl="0">
      <w:start w:val="1"/>
      <w:numFmt w:val="decimal"/>
      <w:lvlText w:val="(%1)"/>
      <w:lvlJc w:val="left"/>
      <w:pPr>
        <w:ind w:left="2536" w:hanging="420"/>
      </w:pPr>
      <w:rPr>
        <w:rFonts w:hint="eastAsia"/>
      </w:rPr>
    </w:lvl>
    <w:lvl w:ilvl="1">
      <w:start w:val="1"/>
      <w:numFmt w:val="lowerLetter"/>
      <w:lvlText w:val="%2)"/>
      <w:lvlJc w:val="left"/>
      <w:pPr>
        <w:ind w:left="2956" w:hanging="420"/>
      </w:pPr>
    </w:lvl>
    <w:lvl w:ilvl="2">
      <w:start w:val="1"/>
      <w:numFmt w:val="lowerRoman"/>
      <w:lvlText w:val="%3."/>
      <w:lvlJc w:val="right"/>
      <w:pPr>
        <w:ind w:left="3376" w:hanging="420"/>
      </w:pPr>
    </w:lvl>
    <w:lvl w:ilvl="3">
      <w:start w:val="1"/>
      <w:numFmt w:val="decimal"/>
      <w:lvlText w:val="%4."/>
      <w:lvlJc w:val="left"/>
      <w:pPr>
        <w:ind w:left="3796" w:hanging="420"/>
      </w:pPr>
    </w:lvl>
    <w:lvl w:ilvl="4">
      <w:start w:val="1"/>
      <w:numFmt w:val="lowerLetter"/>
      <w:lvlText w:val="%5)"/>
      <w:lvlJc w:val="left"/>
      <w:pPr>
        <w:ind w:left="4216" w:hanging="420"/>
      </w:pPr>
    </w:lvl>
    <w:lvl w:ilvl="5">
      <w:start w:val="1"/>
      <w:numFmt w:val="lowerRoman"/>
      <w:lvlText w:val="%6."/>
      <w:lvlJc w:val="right"/>
      <w:pPr>
        <w:ind w:left="4636" w:hanging="420"/>
      </w:pPr>
    </w:lvl>
    <w:lvl w:ilvl="6">
      <w:start w:val="1"/>
      <w:numFmt w:val="decimal"/>
      <w:lvlText w:val="%7."/>
      <w:lvlJc w:val="left"/>
      <w:pPr>
        <w:ind w:left="5056" w:hanging="420"/>
      </w:pPr>
    </w:lvl>
    <w:lvl w:ilvl="7">
      <w:start w:val="1"/>
      <w:numFmt w:val="lowerLetter"/>
      <w:lvlText w:val="%8)"/>
      <w:lvlJc w:val="left"/>
      <w:pPr>
        <w:ind w:left="5476" w:hanging="420"/>
      </w:pPr>
    </w:lvl>
    <w:lvl w:ilvl="8">
      <w:start w:val="1"/>
      <w:numFmt w:val="lowerRoman"/>
      <w:lvlText w:val="%9."/>
      <w:lvlJc w:val="right"/>
      <w:pPr>
        <w:ind w:left="5896" w:hanging="420"/>
      </w:pPr>
    </w:lvl>
  </w:abstractNum>
  <w:abstractNum w:abstractNumId="6" w15:restartNumberingAfterBreak="0">
    <w:nsid w:val="76126F52"/>
    <w:multiLevelType w:val="multilevel"/>
    <w:tmpl w:val="76126F52"/>
    <w:lvl w:ilvl="0">
      <w:start w:val="1"/>
      <w:numFmt w:val="decimal"/>
      <w:lvlText w:val="(%1)"/>
      <w:lvlJc w:val="left"/>
      <w:pPr>
        <w:ind w:left="2097" w:hanging="360"/>
      </w:pPr>
      <w:rPr>
        <w:rFonts w:hint="default"/>
        <w:shd w:val="clear" w:color="auto" w:fill="auto"/>
      </w:rPr>
    </w:lvl>
    <w:lvl w:ilvl="1">
      <w:start w:val="1"/>
      <w:numFmt w:val="lowerLetter"/>
      <w:lvlText w:val="%2."/>
      <w:lvlJc w:val="left"/>
      <w:pPr>
        <w:ind w:left="2817" w:hanging="360"/>
      </w:pPr>
    </w:lvl>
    <w:lvl w:ilvl="2">
      <w:start w:val="1"/>
      <w:numFmt w:val="lowerRoman"/>
      <w:lvlText w:val="%3."/>
      <w:lvlJc w:val="right"/>
      <w:pPr>
        <w:ind w:left="3537" w:hanging="180"/>
      </w:pPr>
    </w:lvl>
    <w:lvl w:ilvl="3">
      <w:start w:val="1"/>
      <w:numFmt w:val="decimal"/>
      <w:lvlText w:val="%4."/>
      <w:lvlJc w:val="left"/>
      <w:pPr>
        <w:ind w:left="4257" w:hanging="360"/>
      </w:pPr>
    </w:lvl>
    <w:lvl w:ilvl="4">
      <w:start w:val="1"/>
      <w:numFmt w:val="lowerLetter"/>
      <w:lvlText w:val="%5."/>
      <w:lvlJc w:val="left"/>
      <w:pPr>
        <w:ind w:left="4977" w:hanging="360"/>
      </w:pPr>
    </w:lvl>
    <w:lvl w:ilvl="5">
      <w:start w:val="1"/>
      <w:numFmt w:val="lowerRoman"/>
      <w:lvlText w:val="%6."/>
      <w:lvlJc w:val="right"/>
      <w:pPr>
        <w:ind w:left="5697" w:hanging="180"/>
      </w:pPr>
    </w:lvl>
    <w:lvl w:ilvl="6">
      <w:start w:val="1"/>
      <w:numFmt w:val="decimal"/>
      <w:lvlText w:val="%7."/>
      <w:lvlJc w:val="left"/>
      <w:pPr>
        <w:ind w:left="6417" w:hanging="360"/>
      </w:pPr>
    </w:lvl>
    <w:lvl w:ilvl="7">
      <w:start w:val="1"/>
      <w:numFmt w:val="lowerLetter"/>
      <w:lvlText w:val="%8."/>
      <w:lvlJc w:val="left"/>
      <w:pPr>
        <w:ind w:left="7137" w:hanging="360"/>
      </w:pPr>
    </w:lvl>
    <w:lvl w:ilvl="8">
      <w:start w:val="1"/>
      <w:numFmt w:val="lowerRoman"/>
      <w:lvlText w:val="%9."/>
      <w:lvlJc w:val="right"/>
      <w:pPr>
        <w:ind w:left="7857" w:hanging="180"/>
      </w:pPr>
    </w:lvl>
  </w:abstractNum>
  <w:num w:numId="1">
    <w:abstractNumId w:val="1"/>
  </w:num>
  <w:num w:numId="2">
    <w:abstractNumId w:val="5"/>
  </w:num>
  <w:num w:numId="3">
    <w:abstractNumId w:val="6"/>
  </w:num>
  <w:num w:numId="4">
    <w:abstractNumId w:val="2"/>
  </w:num>
  <w:num w:numId="5">
    <w:abstractNumId w:val="4"/>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D9"/>
    <w:rsid w:val="001203E3"/>
    <w:rsid w:val="00185B22"/>
    <w:rsid w:val="002757CE"/>
    <w:rsid w:val="002F2BD9"/>
    <w:rsid w:val="007D4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EE3B546-FB01-431D-9D12-BF1164C4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BD9"/>
    <w:pPr>
      <w:jc w:val="both"/>
    </w:pPr>
    <w:rPr>
      <w:rFonts w:ascii="Calibri" w:eastAsia="宋体" w:hAnsi="Calibri" w:cs="Calibri"/>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B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5B22"/>
    <w:rPr>
      <w:rFonts w:ascii="Calibri" w:eastAsia="宋体" w:hAnsi="Calibri" w:cs="Calibri"/>
      <w:kern w:val="0"/>
      <w:sz w:val="18"/>
      <w:szCs w:val="18"/>
    </w:rPr>
  </w:style>
  <w:style w:type="paragraph" w:styleId="a5">
    <w:name w:val="footer"/>
    <w:basedOn w:val="a"/>
    <w:link w:val="a6"/>
    <w:uiPriority w:val="99"/>
    <w:unhideWhenUsed/>
    <w:rsid w:val="00185B22"/>
    <w:pPr>
      <w:tabs>
        <w:tab w:val="center" w:pos="4153"/>
        <w:tab w:val="right" w:pos="8306"/>
      </w:tabs>
      <w:snapToGrid w:val="0"/>
      <w:jc w:val="left"/>
    </w:pPr>
    <w:rPr>
      <w:sz w:val="18"/>
      <w:szCs w:val="18"/>
    </w:rPr>
  </w:style>
  <w:style w:type="character" w:customStyle="1" w:styleId="a6">
    <w:name w:val="页脚 字符"/>
    <w:basedOn w:val="a0"/>
    <w:link w:val="a5"/>
    <w:uiPriority w:val="99"/>
    <w:rsid w:val="00185B22"/>
    <w:rPr>
      <w:rFonts w:ascii="Calibri" w:eastAsia="宋体" w:hAnsi="Calibri" w:cs="Calibri"/>
      <w:kern w:val="0"/>
      <w:sz w:val="18"/>
      <w:szCs w:val="18"/>
    </w:rPr>
  </w:style>
  <w:style w:type="paragraph" w:styleId="a7">
    <w:name w:val="Body Text"/>
    <w:basedOn w:val="a"/>
    <w:link w:val="a8"/>
    <w:uiPriority w:val="99"/>
    <w:unhideWhenUsed/>
    <w:rsid w:val="00185B22"/>
    <w:pPr>
      <w:widowControl w:val="0"/>
      <w:autoSpaceDE w:val="0"/>
      <w:autoSpaceDN w:val="0"/>
      <w:adjustRightInd w:val="0"/>
      <w:jc w:val="left"/>
    </w:pPr>
    <w:rPr>
      <w:rFonts w:ascii="Times New Roman" w:eastAsia="等线" w:hAnsi="Times New Roman" w:cs="Times New Roman"/>
      <w:sz w:val="24"/>
      <w:szCs w:val="24"/>
    </w:rPr>
  </w:style>
  <w:style w:type="character" w:customStyle="1" w:styleId="a8">
    <w:name w:val="正文文本 字符"/>
    <w:basedOn w:val="a0"/>
    <w:link w:val="a7"/>
    <w:uiPriority w:val="99"/>
    <w:rsid w:val="00185B22"/>
    <w:rPr>
      <w:rFonts w:ascii="Times New Roman" w:eastAsia="等线" w:hAnsi="Times New Roman" w:cs="Times New Roman"/>
      <w:kern w:val="0"/>
      <w:sz w:val="24"/>
      <w:szCs w:val="24"/>
    </w:rPr>
  </w:style>
  <w:style w:type="paragraph" w:styleId="a9">
    <w:name w:val="List Paragraph"/>
    <w:basedOn w:val="a"/>
    <w:uiPriority w:val="99"/>
    <w:qFormat/>
    <w:rsid w:val="00185B22"/>
    <w:pPr>
      <w:widowControl w:val="0"/>
      <w:ind w:firstLineChars="200" w:firstLine="420"/>
    </w:pPr>
    <w:rPr>
      <w:kern w:val="2"/>
    </w:rPr>
  </w:style>
  <w:style w:type="character" w:customStyle="1" w:styleId="15">
    <w:name w:val="15"/>
    <w:basedOn w:val="a0"/>
    <w:rsid w:val="00185B22"/>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4705</Words>
  <Characters>26823</Characters>
  <Application>Microsoft Office Word</Application>
  <DocSecurity>0</DocSecurity>
  <Lines>223</Lines>
  <Paragraphs>62</Paragraphs>
  <ScaleCrop>false</ScaleCrop>
  <Company/>
  <LinksUpToDate>false</LinksUpToDate>
  <CharactersWithSpaces>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唐朝霞</dc:creator>
  <cp:keywords/>
  <dc:description/>
  <cp:lastModifiedBy>唐朝霞</cp:lastModifiedBy>
  <cp:revision>3</cp:revision>
  <dcterms:created xsi:type="dcterms:W3CDTF">2022-04-27T06:27:00Z</dcterms:created>
  <dcterms:modified xsi:type="dcterms:W3CDTF">2022-04-27T07:08:00Z</dcterms:modified>
</cp:coreProperties>
</file>